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ADE70">
      <w:pPr>
        <w:spacing w:before="120" w:beforeLines="50" w:line="360" w:lineRule="auto"/>
        <w:jc w:val="center"/>
        <w:rPr>
          <w:rFonts w:hint="eastAsia" w:ascii="宋体" w:hAnsi="宋体"/>
          <w:b/>
          <w:sz w:val="36"/>
          <w:szCs w:val="36"/>
          <w:u w:val="single"/>
        </w:rPr>
      </w:pPr>
    </w:p>
    <w:p w14:paraId="2694424F">
      <w:pPr>
        <w:spacing w:before="120" w:beforeLines="50" w:line="360" w:lineRule="auto"/>
        <w:jc w:val="center"/>
        <w:rPr>
          <w:rFonts w:hint="eastAsia" w:ascii="宋体" w:hAnsi="宋体"/>
          <w:b/>
          <w:sz w:val="44"/>
          <w:szCs w:val="44"/>
        </w:rPr>
      </w:pPr>
      <w:r>
        <w:rPr>
          <w:rFonts w:hint="eastAsia" w:ascii="宋体" w:hAnsi="宋体"/>
          <w:b/>
          <w:sz w:val="44"/>
          <w:szCs w:val="44"/>
        </w:rPr>
        <w:t>浙江康复医院</w:t>
      </w:r>
    </w:p>
    <w:p w14:paraId="20C09F73">
      <w:pPr>
        <w:spacing w:before="120" w:beforeLines="50" w:line="360" w:lineRule="auto"/>
        <w:jc w:val="center"/>
        <w:rPr>
          <w:rFonts w:hint="eastAsia" w:ascii="宋体" w:hAnsi="宋体"/>
          <w:b/>
          <w:szCs w:val="21"/>
        </w:rPr>
      </w:pPr>
      <w:r>
        <w:rPr>
          <w:rFonts w:hint="eastAsia" w:ascii="宋体" w:hAnsi="宋体"/>
          <w:b/>
          <w:sz w:val="44"/>
          <w:szCs w:val="44"/>
        </w:rPr>
        <w:t>西溪院区康养中心护理服务项目</w:t>
      </w:r>
    </w:p>
    <w:p w14:paraId="18B1D4F3">
      <w:pPr>
        <w:spacing w:before="120" w:beforeLines="50" w:line="360" w:lineRule="auto"/>
        <w:jc w:val="center"/>
        <w:rPr>
          <w:rFonts w:hint="eastAsia" w:ascii="宋体" w:hAnsi="宋体"/>
          <w:sz w:val="72"/>
          <w:szCs w:val="72"/>
        </w:rPr>
      </w:pPr>
      <w:r>
        <w:rPr>
          <w:rFonts w:hint="eastAsia" w:ascii="宋体" w:hAnsi="宋体"/>
          <w:sz w:val="72"/>
          <w:szCs w:val="72"/>
        </w:rPr>
        <w:t>招标采购文件</w:t>
      </w:r>
    </w:p>
    <w:p w14:paraId="79431D67">
      <w:pPr>
        <w:pStyle w:val="15"/>
        <w:snapToGrid w:val="0"/>
        <w:spacing w:before="120" w:after="120" w:line="360" w:lineRule="auto"/>
        <w:rPr>
          <w:rFonts w:hint="eastAsia" w:hAnsi="宋体"/>
          <w:b/>
          <w:bCs/>
          <w:sz w:val="30"/>
          <w:szCs w:val="30"/>
        </w:rPr>
      </w:pPr>
    </w:p>
    <w:p w14:paraId="1ECC024A">
      <w:pPr>
        <w:pStyle w:val="15"/>
        <w:snapToGrid w:val="0"/>
        <w:spacing w:before="120" w:after="120" w:line="360" w:lineRule="auto"/>
        <w:ind w:firstLine="1343" w:firstLineChars="446"/>
        <w:rPr>
          <w:rFonts w:hint="eastAsia" w:hAnsi="宋体"/>
          <w:b/>
          <w:bCs/>
          <w:sz w:val="30"/>
          <w:szCs w:val="30"/>
        </w:rPr>
      </w:pPr>
    </w:p>
    <w:p w14:paraId="13808CC1">
      <w:pPr>
        <w:snapToGrid w:val="0"/>
        <w:spacing w:before="120" w:beforeLines="50" w:line="360" w:lineRule="auto"/>
        <w:ind w:firstLine="1433" w:firstLineChars="446"/>
        <w:rPr>
          <w:rFonts w:hint="eastAsia" w:ascii="宋体" w:hAnsi="宋体"/>
          <w:b/>
          <w:bCs/>
          <w:sz w:val="32"/>
          <w:szCs w:val="32"/>
          <w:u w:val="single"/>
        </w:rPr>
      </w:pPr>
      <w:r>
        <w:rPr>
          <w:rFonts w:ascii="宋体" w:hAnsi="宋体"/>
          <w:b/>
          <w:bCs/>
          <w:sz w:val="32"/>
          <w:szCs w:val="32"/>
        </w:rPr>
        <w:t>项目编号：</w:t>
      </w:r>
      <w:r>
        <w:rPr>
          <w:rFonts w:hint="eastAsia" w:ascii="宋体" w:hAnsi="宋体"/>
          <w:b/>
          <w:bCs/>
          <w:sz w:val="32"/>
          <w:szCs w:val="32"/>
        </w:rPr>
        <w:t>ZK-CG-202603</w:t>
      </w:r>
    </w:p>
    <w:p w14:paraId="45A4809C">
      <w:pPr>
        <w:snapToGrid w:val="0"/>
        <w:spacing w:before="120" w:beforeLines="50" w:line="360" w:lineRule="auto"/>
        <w:ind w:left="3177" w:leftChars="679" w:hanging="1751" w:hangingChars="545"/>
        <w:jc w:val="left"/>
        <w:rPr>
          <w:rFonts w:hint="eastAsia" w:ascii="宋体" w:hAnsi="宋体"/>
          <w:b/>
          <w:bCs/>
          <w:sz w:val="32"/>
          <w:szCs w:val="32"/>
        </w:rPr>
      </w:pPr>
      <w:r>
        <w:rPr>
          <w:rFonts w:hint="eastAsia" w:ascii="宋体" w:hAnsi="宋体"/>
          <w:b/>
          <w:bCs/>
          <w:sz w:val="32"/>
          <w:szCs w:val="32"/>
        </w:rPr>
        <w:t>项目名称：</w:t>
      </w:r>
      <w:r>
        <w:rPr>
          <w:rFonts w:hint="eastAsia" w:ascii="宋体" w:hAnsi="宋体"/>
          <w:b/>
          <w:bCs/>
          <w:sz w:val="32"/>
          <w:szCs w:val="32"/>
          <w:u w:val="single"/>
        </w:rPr>
        <w:t>浙江康复医院西溪院区康养中心护理服务项目</w:t>
      </w:r>
    </w:p>
    <w:p w14:paraId="52E6B8DD">
      <w:pPr>
        <w:snapToGrid w:val="0"/>
        <w:spacing w:before="120" w:beforeLines="50" w:line="360" w:lineRule="auto"/>
        <w:ind w:firstLine="1433" w:firstLineChars="446"/>
        <w:rPr>
          <w:rFonts w:hint="eastAsia" w:ascii="宋体" w:hAnsi="宋体"/>
          <w:b/>
          <w:bCs/>
          <w:sz w:val="32"/>
          <w:szCs w:val="32"/>
          <w:u w:val="single"/>
        </w:rPr>
      </w:pPr>
      <w:r>
        <w:rPr>
          <w:rFonts w:ascii="宋体" w:hAnsi="宋体"/>
          <w:b/>
          <w:bCs/>
          <w:sz w:val="32"/>
          <w:szCs w:val="32"/>
        </w:rPr>
        <w:t>采购单位：</w:t>
      </w:r>
      <w:r>
        <w:rPr>
          <w:rFonts w:hint="eastAsia" w:ascii="宋体" w:hAnsi="宋体"/>
          <w:b/>
          <w:bCs/>
          <w:sz w:val="32"/>
          <w:szCs w:val="32"/>
          <w:u w:val="single"/>
        </w:rPr>
        <w:t>浙江康复医院</w:t>
      </w:r>
    </w:p>
    <w:p w14:paraId="784EC81B">
      <w:pPr>
        <w:pStyle w:val="15"/>
        <w:snapToGrid w:val="0"/>
        <w:spacing w:before="120" w:after="120" w:line="360" w:lineRule="auto"/>
        <w:rPr>
          <w:rFonts w:hint="eastAsia" w:hAnsi="宋体"/>
          <w:b/>
          <w:bCs/>
          <w:w w:val="95"/>
          <w:sz w:val="32"/>
          <w:szCs w:val="32"/>
        </w:rPr>
      </w:pPr>
    </w:p>
    <w:p w14:paraId="015F9B24">
      <w:pPr>
        <w:snapToGrid w:val="0"/>
        <w:spacing w:before="120" w:beforeLines="50" w:line="360" w:lineRule="auto"/>
        <w:jc w:val="center"/>
        <w:rPr>
          <w:rFonts w:hint="eastAsia" w:ascii="宋体" w:hAnsi="宋体"/>
          <w:b/>
          <w:bCs/>
          <w:w w:val="95"/>
          <w:sz w:val="32"/>
          <w:szCs w:val="32"/>
        </w:rPr>
      </w:pPr>
    </w:p>
    <w:p w14:paraId="4BCF53C6">
      <w:pPr>
        <w:snapToGrid w:val="0"/>
        <w:spacing w:before="120" w:beforeLines="50" w:line="360" w:lineRule="auto"/>
        <w:jc w:val="center"/>
        <w:rPr>
          <w:rFonts w:hint="eastAsia" w:ascii="宋体" w:hAnsi="宋体"/>
          <w:b/>
          <w:bCs/>
          <w:w w:val="95"/>
          <w:sz w:val="32"/>
          <w:szCs w:val="32"/>
        </w:rPr>
      </w:pPr>
    </w:p>
    <w:p w14:paraId="6BCDA666">
      <w:pPr>
        <w:snapToGrid w:val="0"/>
        <w:spacing w:before="120" w:beforeLines="50" w:line="360" w:lineRule="auto"/>
        <w:jc w:val="center"/>
        <w:rPr>
          <w:rFonts w:hint="eastAsia" w:ascii="宋体" w:hAnsi="宋体"/>
          <w:b/>
          <w:bCs/>
          <w:w w:val="95"/>
          <w:sz w:val="30"/>
          <w:szCs w:val="30"/>
          <w:highlight w:val="none"/>
        </w:rPr>
        <w:sectPr>
          <w:footerReference r:id="rId3" w:type="default"/>
          <w:footerReference r:id="rId4" w:type="even"/>
          <w:pgSz w:w="11906" w:h="16838"/>
          <w:pgMar w:top="1474" w:right="1797" w:bottom="1247" w:left="1797" w:header="851" w:footer="851" w:gutter="0"/>
          <w:pgNumType w:fmt="decimal" w:start="1"/>
          <w:cols w:space="720" w:num="1"/>
          <w:docGrid w:linePitch="312" w:charSpace="0"/>
        </w:sectPr>
      </w:pPr>
      <w:r>
        <w:rPr>
          <w:rFonts w:ascii="宋体" w:hAnsi="宋体"/>
          <w:b/>
          <w:bCs/>
          <w:sz w:val="32"/>
          <w:szCs w:val="32"/>
          <w:highlight w:val="none"/>
        </w:rPr>
        <w:t>202</w:t>
      </w:r>
      <w:r>
        <w:rPr>
          <w:rFonts w:hint="eastAsia" w:ascii="宋体" w:hAnsi="宋体"/>
          <w:b/>
          <w:bCs/>
          <w:sz w:val="32"/>
          <w:szCs w:val="32"/>
          <w:highlight w:val="none"/>
        </w:rPr>
        <w:t>6</w:t>
      </w:r>
      <w:r>
        <w:rPr>
          <w:rFonts w:ascii="宋体" w:hAnsi="宋体"/>
          <w:b/>
          <w:bCs/>
          <w:sz w:val="32"/>
          <w:szCs w:val="32"/>
          <w:highlight w:val="none"/>
        </w:rPr>
        <w:t>年</w:t>
      </w:r>
      <w:r>
        <w:rPr>
          <w:rFonts w:hint="eastAsia" w:ascii="宋体" w:hAnsi="宋体"/>
          <w:b/>
          <w:bCs/>
          <w:sz w:val="32"/>
          <w:szCs w:val="32"/>
          <w:highlight w:val="none"/>
          <w:lang w:val="en-US" w:eastAsia="zh-CN"/>
        </w:rPr>
        <w:t>3</w:t>
      </w:r>
      <w:r>
        <w:rPr>
          <w:rFonts w:hint="eastAsia" w:ascii="宋体" w:hAnsi="宋体"/>
          <w:b/>
          <w:bCs/>
          <w:sz w:val="32"/>
          <w:szCs w:val="32"/>
          <w:highlight w:val="none"/>
        </w:rPr>
        <w:t>月</w:t>
      </w:r>
    </w:p>
    <w:p w14:paraId="4B7589B2">
      <w:pPr>
        <w:pStyle w:val="21"/>
        <w:spacing w:line="360" w:lineRule="auto"/>
        <w:ind w:firstLine="3092" w:firstLineChars="1100"/>
        <w:jc w:val="both"/>
        <w:outlineLvl w:val="0"/>
        <w:rPr>
          <w:rFonts w:hint="eastAsia" w:ascii="宋体" w:hAnsi="宋体" w:cs="宋体"/>
          <w:szCs w:val="28"/>
        </w:rPr>
      </w:pPr>
      <w:bookmarkStart w:id="0" w:name="_Toc499805056"/>
      <w:r>
        <w:rPr>
          <w:rFonts w:hint="eastAsia" w:ascii="宋体" w:hAnsi="宋体" w:cs="宋体"/>
          <w:szCs w:val="28"/>
        </w:rPr>
        <w:t xml:space="preserve">第一章  </w:t>
      </w:r>
      <w:bookmarkEnd w:id="0"/>
      <w:r>
        <w:rPr>
          <w:rFonts w:hint="eastAsia" w:ascii="宋体" w:hAnsi="宋体" w:cs="宋体"/>
          <w:szCs w:val="28"/>
        </w:rPr>
        <w:t>招标公告</w:t>
      </w:r>
    </w:p>
    <w:p w14:paraId="77304834">
      <w:pPr>
        <w:pStyle w:val="13"/>
        <w:spacing w:line="360" w:lineRule="auto"/>
        <w:ind w:firstLine="464" w:firstLineChars="200"/>
        <w:rPr>
          <w:rFonts w:hint="eastAsia" w:hAnsi="宋体" w:cs="宋体"/>
          <w:sz w:val="24"/>
          <w:szCs w:val="24"/>
        </w:rPr>
      </w:pPr>
    </w:p>
    <w:p w14:paraId="124EEB3B">
      <w:pPr>
        <w:pStyle w:val="13"/>
        <w:spacing w:line="360" w:lineRule="auto"/>
        <w:ind w:firstLine="464" w:firstLineChars="200"/>
        <w:rPr>
          <w:rFonts w:hint="eastAsia" w:hAnsi="宋体" w:cs="宋体"/>
          <w:sz w:val="24"/>
          <w:szCs w:val="24"/>
        </w:rPr>
      </w:pPr>
      <w:r>
        <w:rPr>
          <w:rFonts w:hint="eastAsia" w:hAnsi="宋体" w:cs="宋体"/>
          <w:sz w:val="24"/>
          <w:szCs w:val="24"/>
        </w:rPr>
        <w:t>参照《中华人民共和国政府采购法》等有关规定，就</w:t>
      </w:r>
      <w:r>
        <w:rPr>
          <w:rFonts w:hint="eastAsia" w:hAnsi="宋体" w:cs="宋体"/>
          <w:sz w:val="24"/>
          <w:szCs w:val="24"/>
          <w:u w:val="single"/>
        </w:rPr>
        <w:t>浙江康复医院西溪院区康养中心护理服务项目</w:t>
      </w:r>
      <w:r>
        <w:rPr>
          <w:rFonts w:hint="eastAsia" w:hAnsi="宋体" w:cs="宋体"/>
          <w:sz w:val="24"/>
          <w:szCs w:val="24"/>
        </w:rPr>
        <w:t>进行招标，欢迎国内合格的供应商前来投标。</w:t>
      </w:r>
    </w:p>
    <w:p w14:paraId="78A2DF1E">
      <w:pPr>
        <w:pStyle w:val="13"/>
        <w:numPr>
          <w:ilvl w:val="0"/>
          <w:numId w:val="3"/>
        </w:numPr>
        <w:spacing w:line="360" w:lineRule="auto"/>
        <w:ind w:firstLine="0"/>
        <w:rPr>
          <w:rFonts w:hint="eastAsia" w:hAnsi="宋体" w:cs="宋体"/>
          <w:sz w:val="24"/>
          <w:szCs w:val="24"/>
        </w:rPr>
      </w:pPr>
      <w:bookmarkStart w:id="14" w:name="_GoBack"/>
      <w:r>
        <w:rPr>
          <w:rFonts w:hint="eastAsia" w:hAnsi="宋体" w:cs="宋体"/>
          <w:sz w:val="24"/>
          <w:szCs w:val="24"/>
        </w:rPr>
        <w:t>项目编号：ZK-CG-202603</w:t>
      </w:r>
    </w:p>
    <w:p w14:paraId="1B5673F1">
      <w:pPr>
        <w:pStyle w:val="13"/>
        <w:spacing w:line="360" w:lineRule="auto"/>
        <w:ind w:firstLine="0"/>
        <w:rPr>
          <w:rFonts w:hint="eastAsia" w:hAnsi="宋体" w:cs="宋体"/>
          <w:sz w:val="24"/>
          <w:szCs w:val="24"/>
        </w:rPr>
      </w:pPr>
      <w:r>
        <w:rPr>
          <w:rFonts w:hint="eastAsia" w:hAnsi="宋体" w:cs="宋体"/>
          <w:sz w:val="24"/>
          <w:szCs w:val="24"/>
        </w:rPr>
        <w:t>二.采购组织类型：自行组织采购</w:t>
      </w:r>
    </w:p>
    <w:p w14:paraId="5EAAA9B5">
      <w:pPr>
        <w:pStyle w:val="13"/>
        <w:spacing w:line="360" w:lineRule="auto"/>
        <w:ind w:firstLine="0"/>
        <w:rPr>
          <w:rFonts w:hint="eastAsia" w:hAnsi="宋体" w:cs="宋体"/>
          <w:sz w:val="24"/>
          <w:szCs w:val="24"/>
        </w:rPr>
      </w:pPr>
      <w:r>
        <w:rPr>
          <w:rFonts w:hint="eastAsia" w:hAnsi="宋体" w:cs="宋体"/>
          <w:sz w:val="24"/>
          <w:szCs w:val="24"/>
        </w:rPr>
        <w:t>三.采购方式：院内招标</w:t>
      </w:r>
    </w:p>
    <w:p w14:paraId="543D77B1">
      <w:pPr>
        <w:pStyle w:val="13"/>
        <w:spacing w:line="360" w:lineRule="auto"/>
        <w:ind w:firstLine="0"/>
        <w:rPr>
          <w:rFonts w:hint="eastAsia" w:hAnsi="宋体" w:cs="宋体"/>
          <w:sz w:val="24"/>
          <w:szCs w:val="24"/>
        </w:rPr>
      </w:pPr>
      <w:r>
        <w:rPr>
          <w:rFonts w:hint="eastAsia" w:hAnsi="宋体" w:cs="宋体"/>
          <w:sz w:val="24"/>
          <w:szCs w:val="24"/>
        </w:rPr>
        <w:t>四.招标项目概况（内容、用途、数量、简要技术要求等）：</w:t>
      </w:r>
    </w:p>
    <w:tbl>
      <w:tblPr>
        <w:tblStyle w:val="22"/>
        <w:tblW w:w="88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45"/>
        <w:gridCol w:w="552"/>
        <w:gridCol w:w="552"/>
        <w:gridCol w:w="1243"/>
        <w:gridCol w:w="1377"/>
        <w:gridCol w:w="1660"/>
        <w:gridCol w:w="766"/>
      </w:tblGrid>
      <w:tr w14:paraId="40167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34" w:type="dxa"/>
            <w:vAlign w:val="center"/>
          </w:tcPr>
          <w:p w14:paraId="5525B391">
            <w:pPr>
              <w:pStyle w:val="28"/>
              <w:spacing w:line="360" w:lineRule="auto"/>
              <w:jc w:val="center"/>
              <w:rPr>
                <w:rFonts w:hAnsi="宋体" w:cs="宋体"/>
                <w:szCs w:val="21"/>
              </w:rPr>
            </w:pPr>
            <w:r>
              <w:rPr>
                <w:rFonts w:hAnsi="宋体" w:cs="宋体"/>
                <w:szCs w:val="21"/>
              </w:rPr>
              <w:t>标段</w:t>
            </w:r>
          </w:p>
        </w:tc>
        <w:tc>
          <w:tcPr>
            <w:tcW w:w="2145" w:type="dxa"/>
            <w:vAlign w:val="center"/>
          </w:tcPr>
          <w:p w14:paraId="22669B98">
            <w:pPr>
              <w:pStyle w:val="28"/>
              <w:spacing w:line="360" w:lineRule="auto"/>
              <w:jc w:val="center"/>
              <w:rPr>
                <w:rFonts w:hAnsi="宋体" w:cs="宋体"/>
                <w:szCs w:val="21"/>
              </w:rPr>
            </w:pPr>
            <w:r>
              <w:rPr>
                <w:rFonts w:hAnsi="宋体" w:cs="宋体"/>
                <w:szCs w:val="21"/>
              </w:rPr>
              <w:t>标项内容</w:t>
            </w:r>
          </w:p>
        </w:tc>
        <w:tc>
          <w:tcPr>
            <w:tcW w:w="552" w:type="dxa"/>
            <w:vAlign w:val="center"/>
          </w:tcPr>
          <w:p w14:paraId="556BC87F">
            <w:pPr>
              <w:pStyle w:val="28"/>
              <w:spacing w:line="360" w:lineRule="auto"/>
              <w:jc w:val="center"/>
              <w:rPr>
                <w:rFonts w:hAnsi="宋体" w:cs="宋体"/>
                <w:szCs w:val="21"/>
              </w:rPr>
            </w:pPr>
            <w:r>
              <w:rPr>
                <w:rFonts w:hAnsi="宋体" w:cs="宋体"/>
                <w:szCs w:val="21"/>
              </w:rPr>
              <w:t>数量</w:t>
            </w:r>
          </w:p>
        </w:tc>
        <w:tc>
          <w:tcPr>
            <w:tcW w:w="552" w:type="dxa"/>
            <w:vAlign w:val="center"/>
          </w:tcPr>
          <w:p w14:paraId="22F78568">
            <w:pPr>
              <w:pStyle w:val="28"/>
              <w:spacing w:line="360" w:lineRule="auto"/>
              <w:jc w:val="center"/>
              <w:rPr>
                <w:rFonts w:hAnsi="宋体" w:cs="宋体"/>
                <w:szCs w:val="21"/>
              </w:rPr>
            </w:pPr>
            <w:r>
              <w:rPr>
                <w:rFonts w:hAnsi="宋体" w:cs="宋体"/>
                <w:szCs w:val="21"/>
              </w:rPr>
              <w:t>单位</w:t>
            </w:r>
          </w:p>
        </w:tc>
        <w:tc>
          <w:tcPr>
            <w:tcW w:w="1243" w:type="dxa"/>
            <w:vAlign w:val="center"/>
          </w:tcPr>
          <w:p w14:paraId="0CC5B562">
            <w:pPr>
              <w:pStyle w:val="13"/>
              <w:spacing w:line="360" w:lineRule="auto"/>
              <w:ind w:firstLine="0"/>
              <w:jc w:val="center"/>
              <w:rPr>
                <w:rFonts w:hint="eastAsia" w:hAnsi="宋体" w:cs="宋体"/>
                <w:spacing w:val="0"/>
                <w:sz w:val="21"/>
                <w:szCs w:val="21"/>
              </w:rPr>
            </w:pPr>
            <w:r>
              <w:rPr>
                <w:rFonts w:hint="eastAsia" w:hAnsi="宋体" w:cs="宋体"/>
                <w:spacing w:val="0"/>
                <w:sz w:val="21"/>
                <w:szCs w:val="21"/>
              </w:rPr>
              <w:t>预算金额</w:t>
            </w:r>
          </w:p>
          <w:p w14:paraId="17CC38D6">
            <w:pPr>
              <w:pStyle w:val="13"/>
              <w:spacing w:line="360" w:lineRule="auto"/>
              <w:ind w:firstLine="0"/>
              <w:jc w:val="center"/>
              <w:rPr>
                <w:rFonts w:hint="eastAsia" w:hAnsi="宋体" w:cs="宋体"/>
                <w:spacing w:val="0"/>
                <w:sz w:val="21"/>
                <w:szCs w:val="21"/>
              </w:rPr>
            </w:pPr>
            <w:r>
              <w:rPr>
                <w:rFonts w:hint="eastAsia" w:hAnsi="宋体" w:cs="宋体"/>
                <w:spacing w:val="0"/>
                <w:sz w:val="21"/>
                <w:szCs w:val="21"/>
              </w:rPr>
              <w:t>（万元）</w:t>
            </w:r>
          </w:p>
        </w:tc>
        <w:tc>
          <w:tcPr>
            <w:tcW w:w="1377" w:type="dxa"/>
            <w:vAlign w:val="center"/>
          </w:tcPr>
          <w:p w14:paraId="10AD211E">
            <w:pPr>
              <w:pStyle w:val="13"/>
              <w:spacing w:line="360" w:lineRule="auto"/>
              <w:ind w:firstLine="0"/>
              <w:jc w:val="center"/>
              <w:rPr>
                <w:rFonts w:hint="eastAsia" w:hAnsi="宋体" w:cs="宋体"/>
                <w:spacing w:val="0"/>
                <w:sz w:val="21"/>
                <w:szCs w:val="21"/>
              </w:rPr>
            </w:pPr>
            <w:r>
              <w:rPr>
                <w:rFonts w:hint="eastAsia" w:hAnsi="宋体" w:cs="宋体"/>
                <w:spacing w:val="0"/>
                <w:sz w:val="21"/>
                <w:szCs w:val="21"/>
              </w:rPr>
              <w:t>最高限价</w:t>
            </w:r>
          </w:p>
        </w:tc>
        <w:tc>
          <w:tcPr>
            <w:tcW w:w="1660" w:type="dxa"/>
            <w:vAlign w:val="center"/>
          </w:tcPr>
          <w:p w14:paraId="5CDC384A">
            <w:pPr>
              <w:pStyle w:val="13"/>
              <w:spacing w:line="360" w:lineRule="auto"/>
              <w:ind w:firstLine="0"/>
              <w:jc w:val="center"/>
              <w:rPr>
                <w:rFonts w:hint="eastAsia" w:hAnsi="宋体" w:cs="宋体"/>
                <w:spacing w:val="0"/>
                <w:sz w:val="21"/>
                <w:szCs w:val="21"/>
              </w:rPr>
            </w:pPr>
            <w:r>
              <w:rPr>
                <w:rFonts w:hint="eastAsia" w:hAnsi="宋体" w:cs="宋体"/>
                <w:spacing w:val="0"/>
                <w:sz w:val="21"/>
                <w:szCs w:val="21"/>
              </w:rPr>
              <w:t>简要技术</w:t>
            </w:r>
          </w:p>
          <w:p w14:paraId="07685829">
            <w:pPr>
              <w:pStyle w:val="13"/>
              <w:spacing w:line="360" w:lineRule="auto"/>
              <w:ind w:firstLine="0"/>
              <w:jc w:val="center"/>
              <w:rPr>
                <w:rFonts w:hint="eastAsia" w:hAnsi="宋体" w:cs="宋体"/>
                <w:spacing w:val="0"/>
                <w:sz w:val="21"/>
                <w:szCs w:val="21"/>
              </w:rPr>
            </w:pPr>
            <w:r>
              <w:rPr>
                <w:rFonts w:hint="eastAsia" w:hAnsi="宋体" w:cs="宋体"/>
                <w:spacing w:val="0"/>
                <w:sz w:val="21"/>
                <w:szCs w:val="21"/>
              </w:rPr>
              <w:t>要求、用途</w:t>
            </w:r>
          </w:p>
        </w:tc>
        <w:tc>
          <w:tcPr>
            <w:tcW w:w="766" w:type="dxa"/>
            <w:vAlign w:val="center"/>
          </w:tcPr>
          <w:p w14:paraId="490AD83D">
            <w:pPr>
              <w:pStyle w:val="28"/>
              <w:spacing w:line="360" w:lineRule="auto"/>
              <w:jc w:val="center"/>
              <w:rPr>
                <w:rFonts w:hAnsi="宋体" w:cs="宋体"/>
                <w:szCs w:val="21"/>
              </w:rPr>
            </w:pPr>
            <w:r>
              <w:rPr>
                <w:rFonts w:hAnsi="宋体" w:cs="宋体"/>
                <w:szCs w:val="21"/>
              </w:rPr>
              <w:t>备注</w:t>
            </w:r>
          </w:p>
        </w:tc>
      </w:tr>
      <w:tr w14:paraId="51F5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37EAB8FC">
            <w:pPr>
              <w:pStyle w:val="28"/>
              <w:spacing w:line="360" w:lineRule="auto"/>
              <w:jc w:val="center"/>
              <w:rPr>
                <w:rFonts w:hAnsi="宋体" w:cs="宋体"/>
                <w:szCs w:val="21"/>
              </w:rPr>
            </w:pPr>
            <w:r>
              <w:rPr>
                <w:rFonts w:hAnsi="宋体" w:cs="宋体"/>
                <w:szCs w:val="21"/>
              </w:rPr>
              <w:t>1</w:t>
            </w:r>
          </w:p>
        </w:tc>
        <w:tc>
          <w:tcPr>
            <w:tcW w:w="2145" w:type="dxa"/>
            <w:vAlign w:val="center"/>
          </w:tcPr>
          <w:p w14:paraId="42C76ABF">
            <w:pPr>
              <w:pStyle w:val="13"/>
              <w:spacing w:line="360" w:lineRule="auto"/>
              <w:ind w:firstLine="0"/>
              <w:jc w:val="center"/>
              <w:rPr>
                <w:rFonts w:hint="eastAsia" w:hAnsi="宋体" w:cs="宋体"/>
                <w:spacing w:val="0"/>
                <w:sz w:val="21"/>
                <w:szCs w:val="21"/>
              </w:rPr>
            </w:pPr>
            <w:r>
              <w:rPr>
                <w:rFonts w:hint="eastAsia" w:hAnsi="宋体" w:cs="宋体"/>
                <w:spacing w:val="0"/>
                <w:sz w:val="21"/>
                <w:szCs w:val="21"/>
              </w:rPr>
              <w:t>浙江康复医院西溪院区康养中心护理服务项目</w:t>
            </w:r>
          </w:p>
        </w:tc>
        <w:tc>
          <w:tcPr>
            <w:tcW w:w="552" w:type="dxa"/>
            <w:vAlign w:val="center"/>
          </w:tcPr>
          <w:p w14:paraId="7756FAFF">
            <w:pPr>
              <w:pStyle w:val="13"/>
              <w:spacing w:line="360" w:lineRule="auto"/>
              <w:ind w:firstLine="0"/>
              <w:jc w:val="center"/>
              <w:rPr>
                <w:rFonts w:hint="eastAsia" w:hAnsi="宋体" w:cs="宋体"/>
                <w:spacing w:val="0"/>
                <w:sz w:val="21"/>
                <w:szCs w:val="21"/>
              </w:rPr>
            </w:pPr>
            <w:r>
              <w:rPr>
                <w:rFonts w:hint="eastAsia" w:hAnsi="宋体" w:cs="宋体"/>
                <w:spacing w:val="0"/>
                <w:sz w:val="21"/>
                <w:szCs w:val="21"/>
              </w:rPr>
              <w:t>1</w:t>
            </w:r>
          </w:p>
        </w:tc>
        <w:tc>
          <w:tcPr>
            <w:tcW w:w="552" w:type="dxa"/>
            <w:vAlign w:val="center"/>
          </w:tcPr>
          <w:p w14:paraId="5EE81221">
            <w:pPr>
              <w:pStyle w:val="13"/>
              <w:spacing w:line="360" w:lineRule="auto"/>
              <w:ind w:firstLine="0"/>
              <w:jc w:val="center"/>
              <w:rPr>
                <w:rFonts w:hint="eastAsia" w:hAnsi="宋体" w:cs="宋体"/>
                <w:spacing w:val="0"/>
                <w:sz w:val="21"/>
                <w:szCs w:val="21"/>
              </w:rPr>
            </w:pPr>
            <w:r>
              <w:rPr>
                <w:rFonts w:hint="eastAsia" w:hAnsi="宋体" w:cs="宋体"/>
                <w:spacing w:val="0"/>
                <w:sz w:val="21"/>
                <w:szCs w:val="21"/>
              </w:rPr>
              <w:t>项</w:t>
            </w:r>
          </w:p>
        </w:tc>
        <w:tc>
          <w:tcPr>
            <w:tcW w:w="1243" w:type="dxa"/>
            <w:vAlign w:val="center"/>
          </w:tcPr>
          <w:p w14:paraId="080C61D2">
            <w:pPr>
              <w:pStyle w:val="13"/>
              <w:spacing w:line="360" w:lineRule="auto"/>
              <w:ind w:firstLine="0"/>
              <w:jc w:val="center"/>
              <w:rPr>
                <w:rFonts w:hint="eastAsia" w:hAnsi="宋体" w:cs="宋体"/>
                <w:spacing w:val="0"/>
                <w:sz w:val="21"/>
                <w:szCs w:val="21"/>
              </w:rPr>
            </w:pPr>
            <w:r>
              <w:rPr>
                <w:rFonts w:hint="eastAsia" w:hAnsi="宋体" w:cs="宋体"/>
                <w:spacing w:val="0"/>
                <w:sz w:val="21"/>
                <w:szCs w:val="21"/>
              </w:rPr>
              <w:t>16</w:t>
            </w:r>
          </w:p>
        </w:tc>
        <w:tc>
          <w:tcPr>
            <w:tcW w:w="1377" w:type="dxa"/>
            <w:vAlign w:val="center"/>
          </w:tcPr>
          <w:p w14:paraId="5E1162FE">
            <w:pPr>
              <w:pStyle w:val="13"/>
              <w:spacing w:line="360" w:lineRule="auto"/>
              <w:ind w:firstLine="0"/>
              <w:jc w:val="center"/>
              <w:rPr>
                <w:rFonts w:hint="eastAsia" w:hAnsi="宋体" w:cs="宋体"/>
                <w:spacing w:val="0"/>
                <w:sz w:val="21"/>
                <w:szCs w:val="21"/>
              </w:rPr>
            </w:pPr>
            <w:r>
              <w:rPr>
                <w:rFonts w:hint="eastAsia" w:hAnsi="宋体" w:cs="宋体"/>
                <w:spacing w:val="0"/>
                <w:sz w:val="21"/>
                <w:szCs w:val="21"/>
                <w:highlight w:val="none"/>
              </w:rPr>
              <w:t>10%</w:t>
            </w:r>
          </w:p>
        </w:tc>
        <w:tc>
          <w:tcPr>
            <w:tcW w:w="1660" w:type="dxa"/>
            <w:vAlign w:val="center"/>
          </w:tcPr>
          <w:p w14:paraId="5C0FA2D5">
            <w:pPr>
              <w:pStyle w:val="13"/>
              <w:spacing w:line="360" w:lineRule="auto"/>
              <w:ind w:firstLine="0"/>
              <w:rPr>
                <w:rFonts w:hint="eastAsia" w:hAnsi="宋体" w:cs="宋体"/>
                <w:spacing w:val="0"/>
                <w:sz w:val="21"/>
                <w:szCs w:val="21"/>
              </w:rPr>
            </w:pPr>
            <w:bookmarkStart w:id="1" w:name="B16_简要技术要求、用途"/>
            <w:bookmarkEnd w:id="1"/>
            <w:r>
              <w:rPr>
                <w:rFonts w:hint="eastAsia" w:hAnsi="宋体" w:cs="宋体"/>
                <w:spacing w:val="0"/>
                <w:sz w:val="21"/>
                <w:szCs w:val="21"/>
              </w:rPr>
              <w:t>详见采购需求</w:t>
            </w:r>
          </w:p>
        </w:tc>
        <w:tc>
          <w:tcPr>
            <w:tcW w:w="766" w:type="dxa"/>
            <w:vAlign w:val="center"/>
          </w:tcPr>
          <w:p w14:paraId="5EE6A92F">
            <w:pPr>
              <w:pStyle w:val="13"/>
              <w:spacing w:line="360" w:lineRule="auto"/>
              <w:ind w:firstLine="0"/>
              <w:jc w:val="center"/>
              <w:rPr>
                <w:rFonts w:hint="eastAsia" w:hAnsi="宋体" w:cs="宋体"/>
                <w:spacing w:val="0"/>
                <w:sz w:val="21"/>
                <w:szCs w:val="21"/>
              </w:rPr>
            </w:pPr>
          </w:p>
        </w:tc>
      </w:tr>
    </w:tbl>
    <w:p w14:paraId="49D0EB4D">
      <w:pPr>
        <w:pStyle w:val="13"/>
        <w:adjustRightInd w:val="0"/>
        <w:snapToGrid w:val="0"/>
        <w:spacing w:after="120" w:line="288" w:lineRule="auto"/>
        <w:ind w:firstLine="0"/>
        <w:rPr>
          <w:rFonts w:hint="eastAsia" w:hAnsi="宋体" w:cs="宋体"/>
          <w:sz w:val="24"/>
          <w:szCs w:val="24"/>
        </w:rPr>
      </w:pPr>
    </w:p>
    <w:p w14:paraId="6EDFC2A9">
      <w:pPr>
        <w:pStyle w:val="13"/>
        <w:adjustRightInd w:val="0"/>
        <w:snapToGrid w:val="0"/>
        <w:spacing w:after="120" w:line="288" w:lineRule="auto"/>
        <w:ind w:firstLine="0"/>
        <w:rPr>
          <w:rFonts w:hint="eastAsia" w:hAnsi="宋体" w:cs="宋体"/>
          <w:sz w:val="24"/>
          <w:szCs w:val="24"/>
        </w:rPr>
      </w:pPr>
      <w:r>
        <w:rPr>
          <w:rFonts w:hint="eastAsia" w:hAnsi="宋体" w:cs="宋体"/>
          <w:sz w:val="24"/>
          <w:szCs w:val="24"/>
        </w:rPr>
        <w:t>五.供应商资格条件：</w:t>
      </w:r>
    </w:p>
    <w:p w14:paraId="193BB77F">
      <w:pPr>
        <w:pStyle w:val="13"/>
        <w:adjustRightInd w:val="0"/>
        <w:snapToGrid w:val="0"/>
        <w:spacing w:after="120" w:line="288" w:lineRule="auto"/>
        <w:rPr>
          <w:rFonts w:hint="eastAsia" w:hAnsi="宋体" w:cs="宋体"/>
          <w:sz w:val="24"/>
          <w:szCs w:val="24"/>
        </w:rPr>
      </w:pPr>
      <w:r>
        <w:rPr>
          <w:rFonts w:hint="eastAsia" w:hAnsi="宋体" w:cs="宋体"/>
          <w:sz w:val="24"/>
          <w:szCs w:val="24"/>
        </w:rPr>
        <w:t>1、符合《中华人民共和国政府采购法》第二十二条的规定：</w:t>
      </w:r>
    </w:p>
    <w:p w14:paraId="22FB3E68">
      <w:pPr>
        <w:pStyle w:val="13"/>
        <w:adjustRightInd w:val="0"/>
        <w:snapToGrid w:val="0"/>
        <w:spacing w:after="120" w:line="288" w:lineRule="auto"/>
        <w:ind w:firstLine="232" w:firstLineChars="100"/>
        <w:rPr>
          <w:rFonts w:hint="eastAsia" w:hAnsi="宋体" w:cs="宋体"/>
          <w:sz w:val="24"/>
          <w:szCs w:val="24"/>
        </w:rPr>
      </w:pPr>
      <w:r>
        <w:rPr>
          <w:rFonts w:hint="eastAsia" w:hAnsi="宋体" w:cs="宋体"/>
          <w:sz w:val="24"/>
          <w:szCs w:val="24"/>
        </w:rPr>
        <w:t>（1）具有独立承担民事责任的能力；</w:t>
      </w:r>
    </w:p>
    <w:p w14:paraId="1B95E942">
      <w:pPr>
        <w:pStyle w:val="13"/>
        <w:adjustRightInd w:val="0"/>
        <w:snapToGrid w:val="0"/>
        <w:spacing w:after="120" w:line="288" w:lineRule="auto"/>
        <w:ind w:firstLine="232" w:firstLineChars="100"/>
        <w:rPr>
          <w:rFonts w:hint="eastAsia" w:hAnsi="宋体" w:cs="宋体"/>
          <w:sz w:val="24"/>
          <w:szCs w:val="24"/>
        </w:rPr>
      </w:pPr>
      <w:r>
        <w:rPr>
          <w:rFonts w:hint="eastAsia" w:hAnsi="宋体" w:cs="宋体"/>
          <w:sz w:val="24"/>
          <w:szCs w:val="24"/>
        </w:rPr>
        <w:t>（2）具有良好的商业信誉和健全的财务会计制度；</w:t>
      </w:r>
    </w:p>
    <w:p w14:paraId="61225BC5">
      <w:pPr>
        <w:pStyle w:val="13"/>
        <w:adjustRightInd w:val="0"/>
        <w:snapToGrid w:val="0"/>
        <w:spacing w:after="120" w:line="288" w:lineRule="auto"/>
        <w:ind w:firstLine="232" w:firstLineChars="100"/>
        <w:rPr>
          <w:rFonts w:hint="eastAsia" w:hAnsi="宋体" w:cs="宋体"/>
          <w:sz w:val="24"/>
          <w:szCs w:val="24"/>
        </w:rPr>
      </w:pPr>
      <w:r>
        <w:rPr>
          <w:rFonts w:hint="eastAsia" w:hAnsi="宋体" w:cs="宋体"/>
          <w:sz w:val="24"/>
          <w:szCs w:val="24"/>
        </w:rPr>
        <w:t>（3）具有履行合同所必需的设备和专业技术能力；</w:t>
      </w:r>
    </w:p>
    <w:p w14:paraId="7E2789C0">
      <w:pPr>
        <w:pStyle w:val="13"/>
        <w:adjustRightInd w:val="0"/>
        <w:snapToGrid w:val="0"/>
        <w:spacing w:after="120" w:line="288" w:lineRule="auto"/>
        <w:ind w:firstLine="232" w:firstLineChars="100"/>
        <w:rPr>
          <w:rFonts w:hint="eastAsia" w:hAnsi="宋体" w:cs="宋体"/>
          <w:sz w:val="24"/>
          <w:szCs w:val="24"/>
        </w:rPr>
      </w:pPr>
      <w:r>
        <w:rPr>
          <w:rFonts w:hint="eastAsia" w:hAnsi="宋体" w:cs="宋体"/>
          <w:sz w:val="24"/>
          <w:szCs w:val="24"/>
        </w:rPr>
        <w:t>（4）有依法缴纳税收和社会保障资金的良好记录；</w:t>
      </w:r>
    </w:p>
    <w:p w14:paraId="4DDC8E40">
      <w:pPr>
        <w:pStyle w:val="13"/>
        <w:adjustRightInd w:val="0"/>
        <w:snapToGrid w:val="0"/>
        <w:spacing w:after="120" w:line="288" w:lineRule="auto"/>
        <w:ind w:firstLine="232" w:firstLineChars="100"/>
        <w:rPr>
          <w:rFonts w:hint="eastAsia" w:hAnsi="宋体" w:cs="宋体"/>
          <w:sz w:val="24"/>
          <w:szCs w:val="24"/>
        </w:rPr>
      </w:pPr>
      <w:r>
        <w:rPr>
          <w:rFonts w:hint="eastAsia" w:hAnsi="宋体" w:cs="宋体"/>
          <w:sz w:val="24"/>
          <w:szCs w:val="24"/>
        </w:rPr>
        <w:t>（5）参加政府采购活动前三年内，在经营活动中没有重大违法记录。</w:t>
      </w:r>
    </w:p>
    <w:p w14:paraId="2149FEB3">
      <w:pPr>
        <w:widowControl/>
        <w:adjustRightInd w:val="0"/>
        <w:snapToGrid w:val="0"/>
        <w:spacing w:line="288" w:lineRule="auto"/>
        <w:ind w:firstLine="480" w:firstLineChars="200"/>
        <w:jc w:val="left"/>
        <w:rPr>
          <w:rFonts w:hint="eastAsia" w:hAnsi="宋体" w:cs="宋体"/>
          <w:sz w:val="24"/>
        </w:rPr>
      </w:pPr>
      <w:r>
        <w:rPr>
          <w:rFonts w:hint="eastAsia" w:ascii="宋体" w:hAnsi="宋体" w:cs="宋体"/>
          <w:sz w:val="24"/>
        </w:rPr>
        <w:t>2、</w:t>
      </w:r>
      <w:r>
        <w:rPr>
          <w:rFonts w:hint="eastAsia" w:ascii="宋体" w:hAnsi="宋体" w:cs="宋体"/>
          <w:kern w:val="0"/>
          <w:sz w:val="24"/>
        </w:rPr>
        <w:t>单位负责人为同一人或者存在直接控股、管理关系的不同供应商，不得同时参加同一</w:t>
      </w:r>
      <w:r>
        <w:rPr>
          <w:rFonts w:hint="eastAsia" w:ascii="宋体" w:hAnsi="宋体" w:cs="宋体"/>
          <w:sz w:val="24"/>
        </w:rPr>
        <w:t>合同项下</w:t>
      </w:r>
      <w:r>
        <w:rPr>
          <w:rFonts w:hint="eastAsia" w:ascii="宋体" w:hAnsi="宋体" w:cs="宋体"/>
          <w:kern w:val="0"/>
          <w:sz w:val="24"/>
        </w:rPr>
        <w:t>的投标。</w:t>
      </w:r>
    </w:p>
    <w:p w14:paraId="2EBCDD83">
      <w:pPr>
        <w:pStyle w:val="13"/>
        <w:adjustRightInd w:val="0"/>
        <w:snapToGrid w:val="0"/>
        <w:spacing w:after="120" w:line="288" w:lineRule="auto"/>
        <w:ind w:firstLine="0"/>
        <w:rPr>
          <w:rFonts w:hint="eastAsia" w:hAnsi="宋体" w:cs="宋体"/>
          <w:sz w:val="24"/>
          <w:szCs w:val="24"/>
        </w:rPr>
      </w:pPr>
      <w:r>
        <w:rPr>
          <w:rFonts w:hint="eastAsia" w:hAnsi="宋体" w:cs="宋体"/>
          <w:sz w:val="24"/>
          <w:szCs w:val="24"/>
        </w:rPr>
        <w:t>六.其他事项：</w:t>
      </w:r>
    </w:p>
    <w:p w14:paraId="1E8AC52E">
      <w:pPr>
        <w:pStyle w:val="13"/>
        <w:adjustRightInd w:val="0"/>
        <w:snapToGrid w:val="0"/>
        <w:spacing w:after="120" w:line="360" w:lineRule="auto"/>
        <w:ind w:firstLine="480"/>
        <w:rPr>
          <w:rFonts w:hint="eastAsia" w:hAnsi="宋体" w:cs="宋体"/>
          <w:sz w:val="24"/>
          <w:szCs w:val="24"/>
        </w:rPr>
      </w:pPr>
      <w:r>
        <w:rPr>
          <w:rFonts w:hint="eastAsia" w:hAnsi="宋体" w:cs="宋体"/>
          <w:sz w:val="24"/>
          <w:szCs w:val="24"/>
        </w:rPr>
        <w:t>1、供应商认为招标文件、招标过程和中标结果使自己的权益受到损害的，可以在知道或者应知其权益受到损害之日起三个工作日内，以书面形式向采购人提出质疑。供应商应知其权益受到损害之日，是指：（1）对可以质疑的招标文件提出质疑的，为收到招标文件之日。收到招标文件之日起至投标截止时间止不足三个工作日的，应当在投标截止时间前提出。（2）对采购过程提出质疑的，为各采购程序环节结束之日。（3）对中标结果提出质疑的，为中标结果公告期限届满之日。</w:t>
      </w:r>
    </w:p>
    <w:p w14:paraId="4CBB4057">
      <w:pPr>
        <w:pStyle w:val="13"/>
        <w:adjustRightInd w:val="0"/>
        <w:snapToGrid w:val="0"/>
        <w:spacing w:before="120" w:after="120" w:line="288" w:lineRule="auto"/>
        <w:ind w:firstLine="116" w:firstLineChars="50"/>
        <w:rPr>
          <w:rFonts w:hint="eastAsia" w:hAnsi="宋体" w:cs="宋体"/>
          <w:sz w:val="24"/>
          <w:szCs w:val="24"/>
        </w:rPr>
      </w:pPr>
      <w:r>
        <w:rPr>
          <w:rFonts w:hint="eastAsia" w:hAnsi="宋体" w:cs="宋体"/>
          <w:sz w:val="24"/>
          <w:szCs w:val="24"/>
        </w:rPr>
        <w:t>七、</w:t>
      </w:r>
      <w:bookmarkStart w:id="2" w:name="B44_招标文件的发售"/>
      <w:r>
        <w:rPr>
          <w:rFonts w:hint="eastAsia" w:hAnsi="宋体" w:cs="宋体"/>
          <w:sz w:val="24"/>
          <w:szCs w:val="24"/>
        </w:rPr>
        <w:t>招标文件</w:t>
      </w:r>
      <w:bookmarkEnd w:id="2"/>
      <w:r>
        <w:rPr>
          <w:rFonts w:hint="eastAsia" w:hAnsi="宋体" w:cs="宋体"/>
          <w:sz w:val="24"/>
          <w:szCs w:val="24"/>
        </w:rPr>
        <w:t>时间、地点及注意事项：</w:t>
      </w:r>
    </w:p>
    <w:p w14:paraId="46A02026">
      <w:pPr>
        <w:widowControl/>
        <w:shd w:val="clear" w:color="auto" w:fill="FFFFFF"/>
        <w:snapToGrid w:val="0"/>
        <w:spacing w:line="360" w:lineRule="auto"/>
        <w:ind w:firstLine="472" w:firstLineChars="175"/>
        <w:jc w:val="left"/>
        <w:rPr>
          <w:rFonts w:hint="eastAsia" w:ascii="宋体" w:hAnsi="宋体" w:cs="宋体"/>
          <w:kern w:val="0"/>
          <w:sz w:val="24"/>
        </w:rPr>
      </w:pPr>
      <w:r>
        <w:rPr>
          <w:rFonts w:hint="eastAsia" w:ascii="宋体" w:hAnsi="宋体" w:cs="宋体"/>
          <w:spacing w:val="15"/>
          <w:kern w:val="0"/>
          <w:sz w:val="24"/>
          <w:szCs w:val="24"/>
          <w:shd w:val="clear" w:color="auto" w:fill="FFFFFF"/>
        </w:rPr>
        <w:t>1、投标报名文件需提供</w:t>
      </w:r>
      <w:r>
        <w:rPr>
          <w:rFonts w:hint="eastAsia" w:ascii="宋体" w:hAnsi="宋体" w:cs="宋体"/>
          <w:kern w:val="0"/>
          <w:sz w:val="24"/>
          <w:szCs w:val="24"/>
        </w:rPr>
        <w:t>以下文件资料：</w:t>
      </w:r>
    </w:p>
    <w:p w14:paraId="07FE23C8">
      <w:pPr>
        <w:widowControl/>
        <w:shd w:val="clear" w:color="auto" w:fill="FFFFFF"/>
        <w:snapToGrid w:val="0"/>
        <w:spacing w:line="360" w:lineRule="auto"/>
        <w:ind w:firstLine="420" w:firstLineChars="175"/>
        <w:jc w:val="left"/>
        <w:rPr>
          <w:rFonts w:hint="eastAsia" w:ascii="宋体" w:hAnsi="宋体" w:cs="宋体"/>
          <w:kern w:val="0"/>
          <w:sz w:val="24"/>
        </w:rPr>
      </w:pPr>
      <w:r>
        <w:rPr>
          <w:rFonts w:hint="eastAsia" w:ascii="宋体" w:hAnsi="宋体" w:cs="宋体"/>
          <w:kern w:val="0"/>
          <w:sz w:val="24"/>
          <w:szCs w:val="24"/>
        </w:rPr>
        <w:t>1）有效的营业执照（法人证书）等复印件。</w:t>
      </w:r>
    </w:p>
    <w:p w14:paraId="3BAF5831">
      <w:pPr>
        <w:widowControl/>
        <w:shd w:val="clear" w:color="auto" w:fill="FFFFFF"/>
        <w:snapToGrid w:val="0"/>
        <w:spacing w:line="360" w:lineRule="auto"/>
        <w:ind w:firstLine="420" w:firstLineChars="175"/>
        <w:jc w:val="left"/>
        <w:rPr>
          <w:rFonts w:hint="eastAsia" w:ascii="宋体" w:hAnsi="宋体" w:cs="宋体"/>
          <w:kern w:val="0"/>
          <w:sz w:val="24"/>
        </w:rPr>
      </w:pPr>
      <w:r>
        <w:rPr>
          <w:rFonts w:hint="eastAsia" w:ascii="宋体" w:hAnsi="宋体" w:cs="宋体"/>
          <w:kern w:val="0"/>
          <w:sz w:val="24"/>
          <w:szCs w:val="24"/>
        </w:rPr>
        <w:t>2）法定代表人授权书（原件）；</w:t>
      </w:r>
    </w:p>
    <w:p w14:paraId="50D733E7">
      <w:pPr>
        <w:widowControl/>
        <w:shd w:val="clear" w:color="auto" w:fill="FFFFFF"/>
        <w:snapToGrid w:val="0"/>
        <w:spacing w:line="360" w:lineRule="auto"/>
        <w:ind w:firstLine="420" w:firstLineChars="175"/>
        <w:jc w:val="left"/>
        <w:rPr>
          <w:rFonts w:hint="eastAsia" w:ascii="宋体" w:hAnsi="宋体" w:cs="宋体"/>
          <w:kern w:val="0"/>
          <w:sz w:val="24"/>
          <w:szCs w:val="24"/>
        </w:rPr>
      </w:pPr>
      <w:r>
        <w:rPr>
          <w:rFonts w:hint="eastAsia" w:ascii="宋体" w:hAnsi="宋体" w:cs="宋体"/>
          <w:kern w:val="0"/>
          <w:sz w:val="24"/>
          <w:szCs w:val="24"/>
        </w:rPr>
        <w:t>3）被授权人身份证（复印件）；</w:t>
      </w:r>
    </w:p>
    <w:p w14:paraId="70560D25">
      <w:pPr>
        <w:widowControl/>
        <w:shd w:val="clear" w:color="auto" w:fill="FFFFFF"/>
        <w:snapToGrid w:val="0"/>
        <w:spacing w:line="360" w:lineRule="auto"/>
        <w:ind w:firstLine="420" w:firstLineChars="0"/>
        <w:jc w:val="left"/>
        <w:rPr>
          <w:rFonts w:ascii="宋体" w:hAnsi="宋体" w:cs="宋体"/>
          <w:spacing w:val="15"/>
          <w:kern w:val="0"/>
          <w:sz w:val="24"/>
          <w:shd w:val="clear" w:color="auto" w:fill="FFFFFF"/>
        </w:rPr>
      </w:pPr>
      <w:r>
        <w:rPr>
          <w:rFonts w:hint="eastAsia" w:ascii="宋体" w:hAnsi="宋体" w:eastAsia="宋体" w:cs="宋体"/>
          <w:spacing w:val="15"/>
          <w:kern w:val="0"/>
          <w:sz w:val="24"/>
          <w:szCs w:val="24"/>
          <w:highlight w:val="none"/>
          <w:shd w:val="clear" w:color="auto" w:fill="FFFFFF"/>
        </w:rPr>
        <w:t>以上复印件须加盖投标单位公章，书面方式送至浙江康复医院城东院区保安室或扫描件发送到</w:t>
      </w:r>
      <w:r>
        <w:rPr>
          <w:rFonts w:hint="eastAsia" w:ascii="宋体" w:hAnsi="宋体" w:eastAsia="宋体" w:cs="宋体"/>
          <w:spacing w:val="15"/>
          <w:kern w:val="0"/>
          <w:sz w:val="24"/>
          <w:szCs w:val="24"/>
          <w:highlight w:val="none"/>
          <w:shd w:val="clear" w:color="auto" w:fill="FFFFFF"/>
        </w:rPr>
        <w:fldChar w:fldCharType="begin"/>
      </w:r>
      <w:r>
        <w:rPr>
          <w:rFonts w:hint="eastAsia" w:ascii="宋体" w:hAnsi="宋体" w:eastAsia="宋体" w:cs="宋体"/>
          <w:spacing w:val="15"/>
          <w:kern w:val="0"/>
          <w:sz w:val="24"/>
          <w:szCs w:val="24"/>
          <w:highlight w:val="none"/>
          <w:shd w:val="clear" w:color="auto" w:fill="FFFFFF"/>
        </w:rPr>
        <w:instrText xml:space="preserve"> HYPERLINK "mailto:1297248070@qq.com" </w:instrText>
      </w:r>
      <w:r>
        <w:rPr>
          <w:rFonts w:hint="eastAsia" w:ascii="宋体" w:hAnsi="宋体" w:eastAsia="宋体" w:cs="宋体"/>
          <w:spacing w:val="15"/>
          <w:kern w:val="0"/>
          <w:sz w:val="24"/>
          <w:szCs w:val="24"/>
          <w:highlight w:val="none"/>
          <w:shd w:val="clear" w:color="auto" w:fill="FFFFFF"/>
        </w:rPr>
        <w:fldChar w:fldCharType="separate"/>
      </w:r>
      <w:r>
        <w:rPr>
          <w:rFonts w:hint="eastAsia" w:ascii="宋体" w:hAnsi="宋体" w:eastAsia="宋体" w:cs="宋体"/>
          <w:spacing w:val="15"/>
          <w:kern w:val="0"/>
          <w:sz w:val="24"/>
          <w:szCs w:val="24"/>
          <w:highlight w:val="none"/>
          <w:shd w:val="clear" w:color="auto" w:fill="FFFFFF"/>
        </w:rPr>
        <w:t>1297248070@qq.com</w:t>
      </w:r>
      <w:r>
        <w:rPr>
          <w:rFonts w:hint="eastAsia" w:ascii="宋体" w:hAnsi="宋体" w:eastAsia="宋体" w:cs="宋体"/>
          <w:spacing w:val="15"/>
          <w:kern w:val="0"/>
          <w:sz w:val="24"/>
          <w:szCs w:val="24"/>
          <w:highlight w:val="none"/>
          <w:shd w:val="clear" w:color="auto" w:fill="FFFFFF"/>
        </w:rPr>
        <w:fldChar w:fldCharType="end"/>
      </w:r>
      <w:r>
        <w:rPr>
          <w:rFonts w:hint="eastAsia" w:ascii="宋体" w:hAnsi="宋体" w:eastAsia="宋体" w:cs="宋体"/>
          <w:spacing w:val="15"/>
          <w:kern w:val="0"/>
          <w:sz w:val="24"/>
          <w:szCs w:val="24"/>
          <w:highlight w:val="none"/>
          <w:shd w:val="clear" w:color="auto" w:fill="FFFFFF"/>
        </w:rPr>
        <w:t>邮箱中。</w:t>
      </w:r>
    </w:p>
    <w:p w14:paraId="718CFDA8">
      <w:pPr>
        <w:widowControl/>
        <w:shd w:val="clear" w:color="auto" w:fill="FFFFFF"/>
        <w:snapToGrid w:val="0"/>
        <w:spacing w:line="360" w:lineRule="auto"/>
        <w:ind w:firstLine="420"/>
        <w:jc w:val="left"/>
        <w:rPr>
          <w:rFonts w:hint="eastAsia" w:ascii="宋体" w:hAnsi="宋体" w:cs="宋体"/>
          <w:spacing w:val="15"/>
          <w:kern w:val="0"/>
          <w:sz w:val="24"/>
          <w:highlight w:val="none"/>
          <w:u w:val="single"/>
          <w:shd w:val="clear" w:color="auto" w:fill="FFFFFF"/>
        </w:rPr>
      </w:pPr>
      <w:r>
        <w:rPr>
          <w:rFonts w:hint="eastAsia" w:ascii="宋体" w:hAnsi="宋体" w:cs="宋体"/>
          <w:spacing w:val="15"/>
          <w:kern w:val="0"/>
          <w:sz w:val="24"/>
          <w:szCs w:val="24"/>
          <w:highlight w:val="none"/>
          <w:shd w:val="clear" w:color="auto" w:fill="FFFFFF"/>
        </w:rPr>
        <w:t>2、报名截止时间：2026年</w:t>
      </w:r>
      <w:r>
        <w:rPr>
          <w:rFonts w:hint="eastAsia" w:ascii="宋体" w:hAnsi="宋体" w:cs="宋体"/>
          <w:spacing w:val="15"/>
          <w:kern w:val="0"/>
          <w:sz w:val="24"/>
          <w:szCs w:val="24"/>
          <w:highlight w:val="none"/>
          <w:shd w:val="clear" w:color="auto" w:fill="FFFFFF"/>
          <w:lang w:val="en-US" w:eastAsia="zh-CN"/>
        </w:rPr>
        <w:t>3</w:t>
      </w:r>
      <w:r>
        <w:rPr>
          <w:rFonts w:hint="eastAsia" w:ascii="宋体" w:hAnsi="宋体" w:cs="宋体"/>
          <w:spacing w:val="15"/>
          <w:kern w:val="0"/>
          <w:sz w:val="24"/>
          <w:szCs w:val="24"/>
          <w:highlight w:val="none"/>
          <w:shd w:val="clear" w:color="auto" w:fill="FFFFFF"/>
        </w:rPr>
        <w:t>月</w:t>
      </w:r>
      <w:r>
        <w:rPr>
          <w:rFonts w:hint="eastAsia" w:ascii="宋体" w:hAnsi="宋体" w:cs="宋体"/>
          <w:spacing w:val="15"/>
          <w:kern w:val="0"/>
          <w:sz w:val="24"/>
          <w:szCs w:val="24"/>
          <w:highlight w:val="none"/>
          <w:shd w:val="clear" w:color="auto" w:fill="FFFFFF"/>
          <w:lang w:val="en-US" w:eastAsia="zh-CN"/>
        </w:rPr>
        <w:t>13</w:t>
      </w:r>
      <w:r>
        <w:rPr>
          <w:rFonts w:hint="eastAsia" w:ascii="宋体" w:hAnsi="宋体" w:cs="宋体"/>
          <w:spacing w:val="15"/>
          <w:kern w:val="0"/>
          <w:sz w:val="24"/>
          <w:szCs w:val="24"/>
          <w:highlight w:val="none"/>
          <w:shd w:val="clear" w:color="auto" w:fill="FFFFFF"/>
        </w:rPr>
        <w:t>号</w:t>
      </w:r>
      <w:r>
        <w:rPr>
          <w:rFonts w:hint="eastAsia" w:ascii="宋体" w:hAnsi="宋体" w:cs="宋体"/>
          <w:spacing w:val="15"/>
          <w:kern w:val="0"/>
          <w:sz w:val="24"/>
          <w:szCs w:val="24"/>
          <w:highlight w:val="none"/>
          <w:shd w:val="clear" w:color="auto" w:fill="FFFFFF"/>
          <w:lang w:val="en-US" w:eastAsia="zh-CN"/>
        </w:rPr>
        <w:t>11</w:t>
      </w:r>
      <w:r>
        <w:rPr>
          <w:rFonts w:hint="eastAsia" w:ascii="宋体" w:hAnsi="宋体" w:cs="宋体"/>
          <w:spacing w:val="15"/>
          <w:kern w:val="0"/>
          <w:sz w:val="24"/>
          <w:szCs w:val="24"/>
          <w:highlight w:val="none"/>
          <w:shd w:val="clear" w:color="auto" w:fill="FFFFFF"/>
        </w:rPr>
        <w:t>:00</w:t>
      </w:r>
    </w:p>
    <w:p w14:paraId="48EC17BB">
      <w:pPr>
        <w:pStyle w:val="13"/>
        <w:adjustRightInd w:val="0"/>
        <w:snapToGrid w:val="0"/>
        <w:spacing w:before="120" w:after="120" w:line="288" w:lineRule="auto"/>
        <w:ind w:firstLine="348" w:firstLineChars="150"/>
        <w:rPr>
          <w:rFonts w:hint="eastAsia" w:hAnsi="宋体" w:cs="宋体"/>
          <w:sz w:val="24"/>
          <w:szCs w:val="24"/>
          <w:highlight w:val="none"/>
        </w:rPr>
      </w:pPr>
      <w:r>
        <w:rPr>
          <w:rFonts w:hint="eastAsia" w:hAnsi="宋体" w:cs="宋体"/>
          <w:kern w:val="0"/>
          <w:sz w:val="24"/>
          <w:szCs w:val="24"/>
          <w:highlight w:val="none"/>
        </w:rPr>
        <w:t xml:space="preserve"> 3、联系人及方式：杨女士   </w:t>
      </w:r>
      <w:r>
        <w:rPr>
          <w:rFonts w:hint="eastAsia" w:hAnsi="宋体" w:cs="宋体"/>
          <w:sz w:val="24"/>
          <w:szCs w:val="24"/>
          <w:highlight w:val="none"/>
        </w:rPr>
        <w:t>0571-86439831</w:t>
      </w:r>
    </w:p>
    <w:p w14:paraId="24574AF6">
      <w:pPr>
        <w:snapToGrid w:val="0"/>
        <w:spacing w:line="360" w:lineRule="auto"/>
        <w:ind w:left="420" w:leftChars="200"/>
        <w:rPr>
          <w:rFonts w:hint="eastAsia" w:ascii="宋体" w:hAnsi="宋体" w:cs="宋体"/>
          <w:kern w:val="0"/>
          <w:sz w:val="24"/>
          <w:highlight w:val="none"/>
        </w:rPr>
      </w:pPr>
      <w:r>
        <w:rPr>
          <w:rFonts w:hint="eastAsia" w:ascii="宋体" w:hAnsi="宋体" w:cs="宋体"/>
          <w:kern w:val="0"/>
          <w:sz w:val="24"/>
          <w:szCs w:val="24"/>
          <w:highlight w:val="none"/>
        </w:rPr>
        <w:t>4、投标地点：浙江康复医院城东院区（杭州市上城区观音塘路103号）</w:t>
      </w:r>
      <w:r>
        <w:rPr>
          <w:rFonts w:hint="eastAsia" w:ascii="宋体" w:hAnsi="宋体" w:cs="宋体"/>
          <w:kern w:val="0"/>
          <w:sz w:val="24"/>
          <w:highlight w:val="none"/>
        </w:rPr>
        <w:t>食堂二楼会议室</w:t>
      </w:r>
    </w:p>
    <w:p w14:paraId="43E373AB">
      <w:pPr>
        <w:widowControl/>
        <w:shd w:val="clear" w:color="auto" w:fill="FFFFFF"/>
        <w:snapToGrid w:val="0"/>
        <w:spacing w:line="360" w:lineRule="auto"/>
        <w:ind w:firstLine="420"/>
        <w:jc w:val="left"/>
        <w:rPr>
          <w:rFonts w:hint="eastAsia" w:ascii="宋体" w:hAnsi="宋体" w:cs="宋体"/>
          <w:spacing w:val="15"/>
          <w:kern w:val="0"/>
          <w:sz w:val="24"/>
          <w:highlight w:val="none"/>
          <w:u w:val="single"/>
          <w:shd w:val="clear" w:color="auto" w:fill="FFFFFF"/>
        </w:rPr>
      </w:pPr>
      <w:r>
        <w:rPr>
          <w:rFonts w:hint="eastAsia" w:ascii="宋体" w:hAnsi="宋体" w:cs="宋体"/>
          <w:kern w:val="0"/>
          <w:sz w:val="24"/>
          <w:szCs w:val="24"/>
          <w:highlight w:val="none"/>
        </w:rPr>
        <w:t>5、开标时间：</w:t>
      </w:r>
      <w:r>
        <w:rPr>
          <w:rFonts w:hint="eastAsia" w:ascii="宋体" w:hAnsi="宋体" w:cs="宋体"/>
          <w:spacing w:val="15"/>
          <w:kern w:val="0"/>
          <w:sz w:val="24"/>
          <w:szCs w:val="24"/>
          <w:highlight w:val="none"/>
          <w:shd w:val="clear" w:color="auto" w:fill="FFFFFF"/>
        </w:rPr>
        <w:t>2026年</w:t>
      </w:r>
      <w:r>
        <w:rPr>
          <w:rFonts w:hint="eastAsia" w:ascii="宋体" w:hAnsi="宋体" w:cs="宋体"/>
          <w:spacing w:val="15"/>
          <w:kern w:val="0"/>
          <w:sz w:val="24"/>
          <w:szCs w:val="24"/>
          <w:highlight w:val="none"/>
          <w:shd w:val="clear" w:color="auto" w:fill="FFFFFF"/>
          <w:lang w:val="en-US" w:eastAsia="zh-CN"/>
        </w:rPr>
        <w:t>3</w:t>
      </w:r>
      <w:r>
        <w:rPr>
          <w:rFonts w:hint="eastAsia" w:ascii="宋体" w:hAnsi="宋体" w:cs="宋体"/>
          <w:spacing w:val="15"/>
          <w:kern w:val="0"/>
          <w:sz w:val="24"/>
          <w:szCs w:val="24"/>
          <w:highlight w:val="none"/>
          <w:shd w:val="clear" w:color="auto" w:fill="FFFFFF"/>
        </w:rPr>
        <w:t>月</w:t>
      </w:r>
      <w:r>
        <w:rPr>
          <w:rFonts w:hint="eastAsia" w:ascii="宋体" w:hAnsi="宋体" w:cs="宋体"/>
          <w:spacing w:val="15"/>
          <w:kern w:val="0"/>
          <w:sz w:val="24"/>
          <w:szCs w:val="24"/>
          <w:highlight w:val="none"/>
          <w:shd w:val="clear" w:color="auto" w:fill="FFFFFF"/>
          <w:lang w:val="en-US" w:eastAsia="zh-CN"/>
        </w:rPr>
        <w:t>13</w:t>
      </w:r>
      <w:r>
        <w:rPr>
          <w:rFonts w:hint="eastAsia" w:ascii="宋体" w:hAnsi="宋体" w:cs="宋体"/>
          <w:spacing w:val="15"/>
          <w:kern w:val="0"/>
          <w:sz w:val="24"/>
          <w:szCs w:val="24"/>
          <w:highlight w:val="none"/>
          <w:shd w:val="clear" w:color="auto" w:fill="FFFFFF"/>
        </w:rPr>
        <w:t>号</w:t>
      </w:r>
      <w:r>
        <w:rPr>
          <w:rFonts w:hint="eastAsia" w:ascii="宋体" w:hAnsi="宋体" w:cs="宋体"/>
          <w:spacing w:val="15"/>
          <w:kern w:val="0"/>
          <w:sz w:val="24"/>
          <w:szCs w:val="24"/>
          <w:highlight w:val="none"/>
          <w:shd w:val="clear" w:color="auto" w:fill="FFFFFF"/>
          <w:lang w:val="en-US" w:eastAsia="zh-CN"/>
        </w:rPr>
        <w:t>14</w:t>
      </w:r>
      <w:r>
        <w:rPr>
          <w:rFonts w:hint="eastAsia" w:ascii="宋体" w:hAnsi="宋体" w:cs="宋体"/>
          <w:spacing w:val="15"/>
          <w:kern w:val="0"/>
          <w:sz w:val="24"/>
          <w:szCs w:val="24"/>
          <w:highlight w:val="none"/>
          <w:shd w:val="clear" w:color="auto" w:fill="FFFFFF"/>
        </w:rPr>
        <w:t>:00</w:t>
      </w:r>
    </w:p>
    <w:p w14:paraId="07D938B9">
      <w:pPr>
        <w:widowControl/>
        <w:adjustRightInd w:val="0"/>
        <w:snapToGrid w:val="0"/>
        <w:spacing w:line="360" w:lineRule="auto"/>
        <w:ind w:left="420" w:leftChars="200"/>
        <w:jc w:val="left"/>
        <w:rPr>
          <w:rFonts w:hint="eastAsia" w:ascii="宋体" w:hAnsi="宋体" w:cs="宋体"/>
          <w:kern w:val="0"/>
          <w:sz w:val="24"/>
          <w:highlight w:val="none"/>
        </w:rPr>
      </w:pPr>
    </w:p>
    <w:bookmarkEnd w:id="14"/>
    <w:p w14:paraId="3361BD44">
      <w:pPr>
        <w:pStyle w:val="11"/>
        <w:rPr>
          <w:highlight w:val="none"/>
        </w:rPr>
      </w:pPr>
    </w:p>
    <w:p w14:paraId="47A6AC0D">
      <w:pPr>
        <w:rPr>
          <w:highlight w:val="none"/>
        </w:rPr>
      </w:pPr>
    </w:p>
    <w:p w14:paraId="60233A19">
      <w:pPr>
        <w:pStyle w:val="11"/>
        <w:rPr>
          <w:highlight w:val="none"/>
        </w:rPr>
      </w:pPr>
    </w:p>
    <w:p w14:paraId="4278C6F2">
      <w:pPr>
        <w:adjustRightInd w:val="0"/>
        <w:snapToGrid w:val="0"/>
        <w:spacing w:line="288" w:lineRule="auto"/>
        <w:ind w:left="238"/>
        <w:jc w:val="center"/>
        <w:rPr>
          <w:rFonts w:hint="eastAsia" w:ascii="宋体" w:hAnsi="宋体" w:cs="宋体"/>
          <w:b w:val="0"/>
          <w:bCs/>
          <w:sz w:val="24"/>
          <w:highlight w:val="none"/>
        </w:rPr>
      </w:pPr>
      <w:r>
        <w:rPr>
          <w:rFonts w:hint="eastAsia" w:ascii="宋体" w:hAnsi="宋体" w:cs="宋体"/>
          <w:b/>
          <w:sz w:val="24"/>
          <w:highlight w:val="none"/>
          <w:lang w:val="en-US" w:eastAsia="zh-CN"/>
        </w:rPr>
        <w:t xml:space="preserve">                                                       </w:t>
      </w:r>
      <w:r>
        <w:rPr>
          <w:rFonts w:hint="eastAsia" w:ascii="宋体" w:hAnsi="宋体" w:cs="宋体"/>
          <w:b w:val="0"/>
          <w:bCs/>
          <w:sz w:val="24"/>
          <w:highlight w:val="none"/>
        </w:rPr>
        <w:t>浙江康复医院</w:t>
      </w:r>
    </w:p>
    <w:p w14:paraId="2E75010A">
      <w:pPr>
        <w:adjustRightInd w:val="0"/>
        <w:snapToGrid w:val="0"/>
        <w:spacing w:line="288" w:lineRule="auto"/>
        <w:ind w:left="238"/>
        <w:jc w:val="center"/>
        <w:rPr>
          <w:rFonts w:hint="eastAsia" w:ascii="宋体" w:hAnsi="宋体" w:cs="宋体"/>
          <w:b w:val="0"/>
          <w:bCs/>
          <w:sz w:val="24"/>
          <w:highlight w:val="none"/>
        </w:rPr>
      </w:pPr>
      <w:r>
        <w:rPr>
          <w:rFonts w:hint="eastAsia" w:ascii="宋体" w:hAnsi="宋体" w:cs="宋体"/>
          <w:b w:val="0"/>
          <w:bCs/>
          <w:sz w:val="24"/>
          <w:highlight w:val="none"/>
        </w:rPr>
        <w:t xml:space="preserve">                                                       2026年</w:t>
      </w:r>
      <w:r>
        <w:rPr>
          <w:rFonts w:hint="eastAsia" w:ascii="宋体" w:hAnsi="宋体" w:cs="宋体"/>
          <w:b w:val="0"/>
          <w:bCs/>
          <w:sz w:val="24"/>
          <w:highlight w:val="none"/>
          <w:lang w:val="en-US" w:eastAsia="zh-CN"/>
        </w:rPr>
        <w:t>3</w:t>
      </w:r>
      <w:r>
        <w:rPr>
          <w:rFonts w:hint="eastAsia" w:ascii="宋体" w:hAnsi="宋体" w:cs="宋体"/>
          <w:b w:val="0"/>
          <w:bCs/>
          <w:sz w:val="24"/>
          <w:highlight w:val="none"/>
        </w:rPr>
        <w:t>月</w:t>
      </w:r>
    </w:p>
    <w:p w14:paraId="59B5AF47">
      <w:pPr>
        <w:adjustRightInd w:val="0"/>
        <w:snapToGrid w:val="0"/>
        <w:spacing w:line="288" w:lineRule="auto"/>
        <w:ind w:left="238"/>
        <w:jc w:val="center"/>
        <w:rPr>
          <w:rFonts w:hint="eastAsia" w:ascii="宋体" w:hAnsi="宋体" w:cs="Arial"/>
          <w:b/>
          <w:sz w:val="24"/>
          <w:highlight w:val="none"/>
        </w:rPr>
      </w:pPr>
      <w:r>
        <w:rPr>
          <w:rFonts w:ascii="宋体" w:hAnsi="宋体" w:cs="Arial"/>
          <w:b/>
          <w:sz w:val="24"/>
          <w:highlight w:val="none"/>
        </w:rPr>
        <w:br w:type="page"/>
      </w:r>
    </w:p>
    <w:p w14:paraId="2A121E0C">
      <w:pPr>
        <w:snapToGrid w:val="0"/>
        <w:spacing w:line="360" w:lineRule="auto"/>
        <w:ind w:left="238"/>
        <w:jc w:val="center"/>
        <w:outlineLvl w:val="0"/>
        <w:rPr>
          <w:rFonts w:hint="eastAsia" w:ascii="宋体" w:hAnsi="宋体" w:cs="宋体"/>
          <w:b/>
          <w:sz w:val="28"/>
          <w:szCs w:val="28"/>
        </w:rPr>
      </w:pPr>
      <w:bookmarkStart w:id="3" w:name="_Toc499805057"/>
      <w:r>
        <w:rPr>
          <w:rFonts w:hint="eastAsia" w:ascii="宋体" w:hAnsi="宋体" w:cs="宋体"/>
          <w:b/>
          <w:sz w:val="28"/>
          <w:szCs w:val="28"/>
        </w:rPr>
        <w:t>第二章  供应商须知</w:t>
      </w:r>
      <w:bookmarkEnd w:id="3"/>
    </w:p>
    <w:p w14:paraId="14177161">
      <w:pPr>
        <w:spacing w:line="360" w:lineRule="auto"/>
        <w:rPr>
          <w:rFonts w:hint="eastAsia" w:ascii="宋体" w:hAnsi="宋体"/>
        </w:rPr>
      </w:pPr>
    </w:p>
    <w:p w14:paraId="6265407F">
      <w:pPr>
        <w:pStyle w:val="15"/>
        <w:snapToGrid w:val="0"/>
        <w:spacing w:line="360" w:lineRule="auto"/>
        <w:rPr>
          <w:rFonts w:hint="eastAsia" w:hAnsi="宋体" w:cs="宋体"/>
          <w:b/>
        </w:rPr>
      </w:pPr>
      <w:r>
        <w:rPr>
          <w:rFonts w:hint="eastAsia" w:hAnsi="宋体" w:cs="宋体"/>
          <w:b/>
        </w:rPr>
        <w:t>一、</w:t>
      </w:r>
      <w:bookmarkStart w:id="4" w:name="_Toc499670209"/>
      <w:r>
        <w:rPr>
          <w:rFonts w:hint="eastAsia" w:hAnsi="宋体" w:cs="宋体"/>
          <w:b/>
        </w:rPr>
        <w:t>招标文件</w:t>
      </w:r>
      <w:bookmarkEnd w:id="4"/>
    </w:p>
    <w:p w14:paraId="6168330F">
      <w:pPr>
        <w:pStyle w:val="15"/>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hAnsi="宋体" w:cs="宋体"/>
          <w:sz w:val="21"/>
          <w:szCs w:val="21"/>
        </w:rPr>
      </w:pPr>
      <w:r>
        <w:rPr>
          <w:rFonts w:hint="eastAsia" w:hAnsi="宋体" w:cs="宋体"/>
          <w:sz w:val="21"/>
          <w:szCs w:val="21"/>
        </w:rPr>
        <w:t>1.</w:t>
      </w:r>
      <w:r>
        <w:rPr>
          <w:rFonts w:hint="eastAsia" w:hAnsi="宋体" w:cs="宋体"/>
          <w:bCs/>
          <w:sz w:val="21"/>
          <w:szCs w:val="21"/>
        </w:rPr>
        <w:t>供应商应认真阅读本招标文件，发现其中有</w:t>
      </w:r>
      <w:r>
        <w:rPr>
          <w:rFonts w:hint="eastAsia" w:hAnsi="宋体" w:cs="宋体"/>
          <w:sz w:val="21"/>
          <w:szCs w:val="21"/>
        </w:rPr>
        <w:t>表述不清晰、前后矛盾等内容的</w:t>
      </w:r>
      <w:r>
        <w:rPr>
          <w:rFonts w:hint="eastAsia" w:hAnsi="宋体" w:cs="宋体"/>
          <w:bCs/>
          <w:sz w:val="21"/>
          <w:szCs w:val="21"/>
        </w:rPr>
        <w:t>，供应商可以</w:t>
      </w:r>
      <w:r>
        <w:rPr>
          <w:rFonts w:hint="eastAsia" w:hAnsi="宋体" w:cs="宋体"/>
          <w:sz w:val="21"/>
          <w:szCs w:val="21"/>
        </w:rPr>
        <w:t>在投标截止日</w:t>
      </w:r>
      <w:r>
        <w:rPr>
          <w:rFonts w:hint="eastAsia" w:hAnsi="宋体" w:cs="宋体"/>
          <w:sz w:val="21"/>
          <w:szCs w:val="21"/>
          <w:u w:val="single"/>
        </w:rPr>
        <w:t xml:space="preserve"> 1 </w:t>
      </w:r>
      <w:r>
        <w:rPr>
          <w:rFonts w:hint="eastAsia" w:hAnsi="宋体" w:cs="宋体"/>
          <w:sz w:val="21"/>
          <w:szCs w:val="21"/>
        </w:rPr>
        <w:t>天前</w:t>
      </w:r>
      <w:r>
        <w:rPr>
          <w:rFonts w:hint="eastAsia" w:hAnsi="宋体" w:cs="宋体"/>
          <w:bCs/>
          <w:sz w:val="21"/>
          <w:szCs w:val="21"/>
        </w:rPr>
        <w:t>以书面形式要求招标采购单位澄清</w:t>
      </w:r>
      <w:r>
        <w:rPr>
          <w:rFonts w:hint="eastAsia" w:hAnsi="宋体" w:cs="宋体"/>
          <w:sz w:val="21"/>
          <w:szCs w:val="21"/>
        </w:rPr>
        <w:t>。2.招标采购单位必须以书面形式答复供应商要求澄清的问题，并将不包含问题来源的答复书面通知所有购买招标文件的供应商；除书面答复以外的其他澄清方式及澄清内容均无效。3.招标文件澄清、修改的内容为招标文件的组成部分。当招标文件与招标文件的澄清、修改通知就同一内容的表述不一致时，以最后发出的书面文件为准。</w:t>
      </w:r>
    </w:p>
    <w:p w14:paraId="757BA801">
      <w:pPr>
        <w:pStyle w:val="15"/>
        <w:snapToGrid w:val="0"/>
        <w:spacing w:line="360" w:lineRule="auto"/>
        <w:rPr>
          <w:rFonts w:hint="eastAsia" w:hAnsi="宋体" w:cs="宋体"/>
          <w:b/>
        </w:rPr>
      </w:pPr>
      <w:bookmarkStart w:id="5" w:name="_Toc499670210"/>
      <w:r>
        <w:rPr>
          <w:rFonts w:hint="eastAsia" w:hAnsi="宋体" w:cs="宋体"/>
          <w:b/>
        </w:rPr>
        <w:t>二、投标文件的编制</w:t>
      </w:r>
      <w:bookmarkEnd w:id="5"/>
    </w:p>
    <w:p w14:paraId="23E91B3C">
      <w:pPr>
        <w:snapToGrid w:val="0"/>
        <w:spacing w:line="360" w:lineRule="auto"/>
        <w:ind w:firstLine="472" w:firstLineChars="196"/>
        <w:jc w:val="left"/>
        <w:rPr>
          <w:rFonts w:hint="eastAsia" w:ascii="宋体" w:hAnsi="宋体" w:cs="宋体"/>
          <w:b/>
          <w:sz w:val="24"/>
        </w:rPr>
      </w:pPr>
      <w:bookmarkStart w:id="6" w:name="_Toc499670211"/>
      <w:r>
        <w:rPr>
          <w:rFonts w:hint="eastAsia" w:ascii="宋体" w:hAnsi="宋体" w:cs="宋体"/>
          <w:b/>
          <w:sz w:val="24"/>
        </w:rPr>
        <w:t>（一）投标文件的组成</w:t>
      </w:r>
      <w:bookmarkEnd w:id="6"/>
    </w:p>
    <w:p w14:paraId="40C6A3CA">
      <w:pPr>
        <w:snapToGrid w:val="0"/>
        <w:spacing w:before="156" w:beforeLines="50" w:line="360" w:lineRule="auto"/>
        <w:ind w:firstLine="472" w:firstLineChars="196"/>
        <w:jc w:val="left"/>
        <w:rPr>
          <w:rFonts w:hint="eastAsia" w:ascii="宋体" w:hAnsi="宋体" w:cs="宋体"/>
          <w:b/>
          <w:sz w:val="24"/>
        </w:rPr>
      </w:pPr>
      <w:r>
        <w:rPr>
          <w:rFonts w:hint="eastAsia" w:ascii="宋体" w:hAnsi="宋体" w:cs="宋体"/>
          <w:b/>
          <w:sz w:val="24"/>
        </w:rPr>
        <w:t>1.资格证明：</w:t>
      </w:r>
    </w:p>
    <w:p w14:paraId="1F8651CE">
      <w:pPr>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▲（1）法人或者其他组织的营业执照等证明文件复印件，自然人的身份证复印件，法人代表授权委托书</w:t>
      </w:r>
      <w:r>
        <w:rPr>
          <w:rFonts w:hint="eastAsia" w:ascii="宋体" w:hAnsi="宋体" w:cs="宋体"/>
          <w:b/>
          <w:szCs w:val="21"/>
          <w:u w:val="single"/>
        </w:rPr>
        <w:t>（格式见第</w:t>
      </w:r>
      <w:r>
        <w:rPr>
          <w:rFonts w:hint="eastAsia" w:ascii="宋体" w:hAnsi="宋体" w:cs="宋体"/>
          <w:b/>
          <w:szCs w:val="21"/>
          <w:u w:val="single"/>
          <w:lang w:val="en-US" w:eastAsia="zh-CN"/>
        </w:rPr>
        <w:t>六</w:t>
      </w:r>
      <w:r>
        <w:rPr>
          <w:rFonts w:hint="eastAsia" w:ascii="宋体" w:hAnsi="宋体" w:cs="宋体"/>
          <w:b/>
          <w:szCs w:val="21"/>
          <w:u w:val="single"/>
        </w:rPr>
        <w:t>章）</w:t>
      </w:r>
      <w:r>
        <w:rPr>
          <w:rFonts w:hint="eastAsia" w:ascii="宋体" w:hAnsi="宋体" w:cs="宋体"/>
          <w:b/>
          <w:bCs/>
          <w:szCs w:val="21"/>
          <w:u w:val="single"/>
        </w:rPr>
        <w:t>；</w:t>
      </w:r>
    </w:p>
    <w:p w14:paraId="7EFD0201">
      <w:pPr>
        <w:snapToGrid w:val="0"/>
        <w:spacing w:line="360" w:lineRule="auto"/>
        <w:ind w:firstLine="422" w:firstLineChars="200"/>
        <w:rPr>
          <w:rFonts w:hint="eastAsia" w:ascii="宋体" w:hAnsi="宋体" w:cs="宋体"/>
          <w:b/>
          <w:szCs w:val="21"/>
          <w:u w:val="single"/>
        </w:rPr>
      </w:pPr>
      <w:r>
        <w:rPr>
          <w:rFonts w:hint="eastAsia" w:ascii="宋体" w:hAnsi="宋体" w:cs="宋体"/>
          <w:b/>
          <w:bCs/>
          <w:szCs w:val="21"/>
          <w:u w:val="single"/>
        </w:rPr>
        <w:t>▲</w:t>
      </w:r>
      <w:r>
        <w:rPr>
          <w:rFonts w:hint="eastAsia" w:ascii="宋体" w:hAnsi="宋体" w:cs="宋体"/>
          <w:b/>
          <w:szCs w:val="21"/>
          <w:u w:val="single"/>
        </w:rPr>
        <w:t>（2）投标声明书（格式见第</w:t>
      </w:r>
      <w:r>
        <w:rPr>
          <w:rFonts w:hint="eastAsia" w:ascii="宋体" w:hAnsi="宋体" w:cs="宋体"/>
          <w:b/>
          <w:szCs w:val="21"/>
          <w:u w:val="single"/>
          <w:lang w:val="en-US" w:eastAsia="zh-CN"/>
        </w:rPr>
        <w:t>六</w:t>
      </w:r>
      <w:r>
        <w:rPr>
          <w:rFonts w:hint="eastAsia" w:ascii="宋体" w:hAnsi="宋体" w:cs="宋体"/>
          <w:b/>
          <w:szCs w:val="21"/>
          <w:u w:val="single"/>
        </w:rPr>
        <w:t>章）</w:t>
      </w:r>
    </w:p>
    <w:p w14:paraId="4B42ED14">
      <w:pPr>
        <w:snapToGrid w:val="0"/>
        <w:spacing w:line="360" w:lineRule="auto"/>
        <w:ind w:firstLine="361" w:firstLineChars="150"/>
        <w:jc w:val="left"/>
        <w:rPr>
          <w:rFonts w:hint="eastAsia" w:ascii="宋体" w:hAnsi="宋体" w:cs="宋体"/>
          <w:b/>
          <w:sz w:val="24"/>
        </w:rPr>
      </w:pPr>
      <w:r>
        <w:rPr>
          <w:rFonts w:hint="eastAsia" w:ascii="宋体" w:hAnsi="宋体" w:cs="宋体"/>
          <w:b/>
          <w:sz w:val="24"/>
        </w:rPr>
        <w:t>2.报价文件：</w:t>
      </w:r>
    </w:p>
    <w:p w14:paraId="618DF6E6">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（1）投标函（格式</w:t>
      </w:r>
      <w:r>
        <w:rPr>
          <w:rFonts w:hint="eastAsia" w:ascii="宋体" w:hAnsi="宋体" w:eastAsia="宋体" w:cs="宋体"/>
          <w:kern w:val="0"/>
          <w:szCs w:val="21"/>
        </w:rPr>
        <w:t>见第</w:t>
      </w:r>
      <w:r>
        <w:rPr>
          <w:rFonts w:hint="eastAsia" w:ascii="宋体" w:hAnsi="宋体" w:eastAsia="宋体" w:cs="宋体"/>
          <w:kern w:val="0"/>
          <w:szCs w:val="21"/>
          <w:lang w:val="en-US" w:eastAsia="zh-CN"/>
        </w:rPr>
        <w:t>六</w:t>
      </w:r>
      <w:r>
        <w:rPr>
          <w:rFonts w:hint="eastAsia" w:ascii="宋体" w:hAnsi="宋体" w:eastAsia="宋体" w:cs="宋体"/>
          <w:kern w:val="0"/>
          <w:szCs w:val="21"/>
        </w:rPr>
        <w:t>章）</w:t>
      </w:r>
      <w:r>
        <w:rPr>
          <w:rFonts w:hint="eastAsia" w:ascii="宋体" w:hAnsi="宋体" w:cs="宋体"/>
          <w:kern w:val="0"/>
          <w:szCs w:val="21"/>
        </w:rPr>
        <w:t>；</w:t>
      </w:r>
    </w:p>
    <w:p w14:paraId="1E45BF35">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（2）开标一览表（格式见</w:t>
      </w:r>
      <w:r>
        <w:rPr>
          <w:rFonts w:hint="eastAsia" w:ascii="宋体" w:hAnsi="宋体" w:eastAsia="宋体" w:cs="宋体"/>
          <w:kern w:val="0"/>
          <w:szCs w:val="21"/>
        </w:rPr>
        <w:t>第</w:t>
      </w:r>
      <w:r>
        <w:rPr>
          <w:rFonts w:hint="eastAsia" w:ascii="宋体" w:hAnsi="宋体" w:eastAsia="宋体" w:cs="宋体"/>
          <w:kern w:val="0"/>
          <w:szCs w:val="21"/>
          <w:lang w:val="en-US" w:eastAsia="zh-CN"/>
        </w:rPr>
        <w:t>六</w:t>
      </w:r>
      <w:r>
        <w:rPr>
          <w:rFonts w:hint="eastAsia" w:ascii="宋体" w:hAnsi="宋体" w:eastAsia="宋体" w:cs="宋体"/>
          <w:kern w:val="0"/>
          <w:szCs w:val="21"/>
        </w:rPr>
        <w:t>章</w:t>
      </w:r>
      <w:r>
        <w:rPr>
          <w:rFonts w:hint="eastAsia" w:ascii="宋体" w:hAnsi="宋体" w:cs="宋体"/>
          <w:kern w:val="0"/>
          <w:szCs w:val="21"/>
        </w:rPr>
        <w:t>）；</w:t>
      </w:r>
    </w:p>
    <w:p w14:paraId="74C50C13">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（3）投标报价明细表（格式见</w:t>
      </w:r>
      <w:r>
        <w:rPr>
          <w:rFonts w:hint="eastAsia" w:ascii="宋体" w:hAnsi="宋体" w:eastAsia="宋体" w:cs="宋体"/>
          <w:kern w:val="0"/>
          <w:szCs w:val="21"/>
        </w:rPr>
        <w:t>第</w:t>
      </w:r>
      <w:r>
        <w:rPr>
          <w:rFonts w:hint="eastAsia" w:ascii="宋体" w:hAnsi="宋体" w:eastAsia="宋体" w:cs="宋体"/>
          <w:kern w:val="0"/>
          <w:szCs w:val="21"/>
          <w:lang w:val="en-US" w:eastAsia="zh-CN"/>
        </w:rPr>
        <w:t>六</w:t>
      </w:r>
      <w:r>
        <w:rPr>
          <w:rFonts w:hint="eastAsia" w:ascii="宋体" w:hAnsi="宋体" w:eastAsia="宋体" w:cs="宋体"/>
          <w:kern w:val="0"/>
          <w:szCs w:val="21"/>
        </w:rPr>
        <w:t>章</w:t>
      </w:r>
      <w:r>
        <w:rPr>
          <w:rFonts w:hint="eastAsia" w:ascii="宋体" w:hAnsi="宋体" w:cs="宋体"/>
          <w:kern w:val="0"/>
          <w:szCs w:val="21"/>
        </w:rPr>
        <w:t>）；</w:t>
      </w:r>
    </w:p>
    <w:p w14:paraId="7906EF27">
      <w:pPr>
        <w:snapToGrid w:val="0"/>
        <w:spacing w:before="156" w:beforeLines="50" w:line="360" w:lineRule="auto"/>
        <w:ind w:firstLine="472" w:firstLineChars="196"/>
        <w:jc w:val="left"/>
        <w:rPr>
          <w:rFonts w:hint="eastAsia" w:ascii="宋体" w:hAnsi="宋体" w:cs="宋体"/>
          <w:b/>
          <w:sz w:val="24"/>
        </w:rPr>
      </w:pPr>
      <w:r>
        <w:rPr>
          <w:rFonts w:hint="eastAsia" w:ascii="宋体" w:hAnsi="宋体" w:cs="宋体"/>
          <w:b/>
          <w:sz w:val="24"/>
        </w:rPr>
        <w:t>3.商务技术部分</w:t>
      </w:r>
    </w:p>
    <w:p w14:paraId="32F81A78">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（1）评标标准相应的商务技术资料；</w:t>
      </w:r>
    </w:p>
    <w:p w14:paraId="4FDCDBED">
      <w:pPr>
        <w:widowControl/>
        <w:spacing w:line="360" w:lineRule="auto"/>
        <w:ind w:firstLine="420" w:firstLineChars="200"/>
        <w:jc w:val="left"/>
        <w:rPr>
          <w:rFonts w:hint="eastAsia"/>
        </w:rPr>
      </w:pPr>
      <w:r>
        <w:rPr>
          <w:rFonts w:hint="eastAsia" w:ascii="宋体" w:hAnsi="宋体" w:cs="宋体"/>
          <w:kern w:val="0"/>
          <w:szCs w:val="21"/>
        </w:rPr>
        <w:t>（2）供应商认为有需要提供的相关材料或者方案</w:t>
      </w:r>
    </w:p>
    <w:p w14:paraId="466D1B1B">
      <w:pPr>
        <w:snapToGrid w:val="0"/>
        <w:spacing w:before="156" w:beforeLines="50" w:line="360" w:lineRule="auto"/>
        <w:ind w:firstLine="472" w:firstLineChars="196"/>
        <w:jc w:val="left"/>
        <w:rPr>
          <w:rFonts w:hint="eastAsia" w:ascii="宋体" w:hAnsi="宋体" w:cs="宋体"/>
          <w:b/>
          <w:sz w:val="24"/>
        </w:rPr>
      </w:pPr>
      <w:bookmarkStart w:id="7" w:name="_Toc499670213"/>
      <w:r>
        <w:rPr>
          <w:rFonts w:hint="eastAsia" w:ascii="宋体" w:hAnsi="宋体" w:cs="宋体"/>
          <w:b/>
          <w:sz w:val="24"/>
        </w:rPr>
        <w:t>（二）投标报价</w:t>
      </w:r>
      <w:bookmarkEnd w:id="7"/>
    </w:p>
    <w:p w14:paraId="62B5AB5B">
      <w:pPr>
        <w:snapToGrid w:val="0"/>
        <w:spacing w:line="360" w:lineRule="auto"/>
        <w:ind w:firstLine="420" w:firstLineChars="200"/>
        <w:jc w:val="left"/>
        <w:rPr>
          <w:rFonts w:hint="eastAsia" w:ascii="宋体" w:hAnsi="宋体" w:cs="宋体"/>
          <w:szCs w:val="21"/>
        </w:rPr>
      </w:pPr>
      <w:r>
        <w:rPr>
          <w:rFonts w:hint="eastAsia" w:ascii="宋体" w:hAnsi="宋体" w:cs="宋体"/>
          <w:szCs w:val="21"/>
        </w:rPr>
        <w:t>1.投标报价应按招标文件中相关附表格式填写。2.投标报价是履行合同的最终价格，应包括一切税金和费用。3.投标文件只允许有一个报价，有选择或有条件的报价将不予接受，其投标无效。</w:t>
      </w:r>
    </w:p>
    <w:p w14:paraId="6E7BA603">
      <w:pPr>
        <w:pStyle w:val="13"/>
        <w:snapToGrid w:val="0"/>
        <w:spacing w:line="360" w:lineRule="auto"/>
        <w:ind w:firstLine="457" w:firstLineChars="196"/>
        <w:rPr>
          <w:rFonts w:hint="eastAsia" w:hAnsi="宋体" w:cs="宋体"/>
          <w:b/>
          <w:snapToGrid w:val="0"/>
          <w:sz w:val="24"/>
          <w:szCs w:val="24"/>
        </w:rPr>
      </w:pPr>
      <w:bookmarkStart w:id="8" w:name="_Toc499670218"/>
      <w:r>
        <w:rPr>
          <w:rFonts w:hint="eastAsia" w:hAnsi="宋体" w:cs="宋体"/>
          <w:b/>
          <w:sz w:val="24"/>
          <w:szCs w:val="24"/>
        </w:rPr>
        <w:t>三、开标</w:t>
      </w:r>
      <w:bookmarkEnd w:id="8"/>
    </w:p>
    <w:p w14:paraId="189CA6C5">
      <w:pPr>
        <w:pStyle w:val="15"/>
        <w:snapToGrid w:val="0"/>
        <w:spacing w:line="360" w:lineRule="auto"/>
        <w:ind w:firstLine="411" w:firstLineChars="196"/>
        <w:rPr>
          <w:rFonts w:hint="eastAsia" w:hAnsi="宋体" w:cs="宋体"/>
          <w:sz w:val="21"/>
          <w:szCs w:val="21"/>
        </w:rPr>
      </w:pPr>
      <w:r>
        <w:rPr>
          <w:rFonts w:hint="eastAsia" w:hAnsi="宋体" w:cs="宋体"/>
          <w:sz w:val="21"/>
          <w:szCs w:val="21"/>
        </w:rPr>
        <w:t>1.供应商应按招标文件规定的投标截止时间前提交投标文件。逾期送达的或者未送达指定地点的投标文件，将不予接收。</w:t>
      </w:r>
      <w:r>
        <w:rPr>
          <w:rFonts w:hint="eastAsia" w:hAnsi="宋体" w:cs="宋体"/>
          <w:bCs/>
          <w:sz w:val="21"/>
          <w:szCs w:val="21"/>
        </w:rPr>
        <w:t>2.</w:t>
      </w:r>
      <w:r>
        <w:rPr>
          <w:rFonts w:hint="eastAsia" w:hAnsi="宋体" w:cs="宋体"/>
          <w:sz w:val="21"/>
          <w:szCs w:val="21"/>
        </w:rPr>
        <w:t>开标会由采购人自行主持。3．做好开标记录并签字确认，供应商代表未到场签字确认或者拒绝签字确认的，不影响开标过程。</w:t>
      </w:r>
    </w:p>
    <w:p w14:paraId="4CB699C6">
      <w:pPr>
        <w:pStyle w:val="15"/>
        <w:snapToGrid w:val="0"/>
        <w:spacing w:line="360" w:lineRule="auto"/>
        <w:ind w:left="802" w:leftChars="267" w:hanging="241" w:hangingChars="100"/>
        <w:rPr>
          <w:rFonts w:hint="eastAsia" w:hAnsi="宋体" w:cs="宋体"/>
          <w:b/>
        </w:rPr>
      </w:pPr>
      <w:bookmarkStart w:id="9" w:name="_Toc499670219"/>
      <w:r>
        <w:rPr>
          <w:rFonts w:hint="eastAsia" w:hAnsi="宋体" w:cs="宋体"/>
          <w:b/>
        </w:rPr>
        <w:t>四、评标</w:t>
      </w:r>
      <w:bookmarkEnd w:id="9"/>
    </w:p>
    <w:p w14:paraId="14362257">
      <w:pPr>
        <w:pStyle w:val="15"/>
        <w:snapToGrid w:val="0"/>
        <w:spacing w:line="360" w:lineRule="auto"/>
        <w:ind w:firstLine="420" w:firstLineChars="200"/>
        <w:rPr>
          <w:rFonts w:hint="eastAsia" w:hAnsi="宋体" w:cs="宋体"/>
          <w:sz w:val="21"/>
          <w:szCs w:val="21"/>
        </w:rPr>
      </w:pPr>
      <w:r>
        <w:rPr>
          <w:rFonts w:hint="eastAsia" w:hAnsi="宋体" w:cs="宋体"/>
          <w:sz w:val="21"/>
          <w:szCs w:val="21"/>
        </w:rPr>
        <w:t>1.评标小组由采购单位有关专家组成,成员人数应当为单数。</w:t>
      </w:r>
      <w:r>
        <w:rPr>
          <w:rFonts w:hint="eastAsia" w:hAnsi="宋体" w:cs="宋体"/>
          <w:b/>
          <w:sz w:val="21"/>
          <w:szCs w:val="21"/>
        </w:rPr>
        <w:t>2.</w:t>
      </w:r>
      <w:r>
        <w:rPr>
          <w:rFonts w:hint="eastAsia" w:hAnsi="宋体" w:cs="宋体"/>
          <w:sz w:val="21"/>
          <w:szCs w:val="21"/>
        </w:rPr>
        <w:t>招标人对各供应商的资格进行审查，供应商资格条件不符合招标文件要求的投标无效，</w:t>
      </w:r>
      <w:r>
        <w:rPr>
          <w:rFonts w:hint="eastAsia" w:hAnsi="宋体" w:cs="宋体"/>
          <w:bCs/>
          <w:sz w:val="21"/>
          <w:szCs w:val="21"/>
        </w:rPr>
        <w:t>不再进入符合性审查。</w:t>
      </w:r>
      <w:r>
        <w:rPr>
          <w:rFonts w:hint="eastAsia" w:hAnsi="宋体" w:cs="宋体"/>
          <w:sz w:val="21"/>
          <w:szCs w:val="21"/>
        </w:rPr>
        <w:t>3.评审小组对各投标文件的符合性进行审查，确定是否对招标文件作出了实质性响应。</w:t>
      </w:r>
      <w:r>
        <w:rPr>
          <w:rFonts w:hint="eastAsia" w:hAnsi="宋体" w:cs="宋体"/>
          <w:bCs/>
          <w:sz w:val="21"/>
          <w:szCs w:val="21"/>
        </w:rPr>
        <w:t>实质上没有响应招标文件要求的投标将被视为无效投标，不再进入下一阶段的评审。</w:t>
      </w:r>
      <w:r>
        <w:rPr>
          <w:rFonts w:hint="eastAsia" w:hAnsi="宋体" w:cs="宋体"/>
          <w:sz w:val="21"/>
          <w:szCs w:val="21"/>
        </w:rPr>
        <w:t>4.投标文件中开标一览表内容与投标文件中相应内容不一致的，以开标一览表为准；大写金额和小写金额不一致的，以大写金额为准；单价金额小数点或者百分比有明显错位的，以开标一览表的总价为准，并修改单价；总价金额与按单价汇总金额不一致的，以单价金额计算结果为准。</w:t>
      </w:r>
    </w:p>
    <w:p w14:paraId="7BD01C2C">
      <w:pPr>
        <w:pStyle w:val="15"/>
        <w:snapToGrid w:val="0"/>
        <w:spacing w:line="360" w:lineRule="auto"/>
        <w:ind w:firstLine="472" w:firstLineChars="196"/>
        <w:rPr>
          <w:rFonts w:hint="eastAsia" w:hAnsi="宋体" w:cs="宋体"/>
          <w:b/>
        </w:rPr>
      </w:pPr>
      <w:bookmarkStart w:id="10" w:name="_Toc499670220"/>
      <w:r>
        <w:rPr>
          <w:rFonts w:hint="eastAsia" w:hAnsi="宋体" w:cs="宋体"/>
          <w:b/>
        </w:rPr>
        <w:t>五、定标</w:t>
      </w:r>
      <w:bookmarkEnd w:id="10"/>
    </w:p>
    <w:p w14:paraId="79D5C981">
      <w:pPr>
        <w:snapToGrid w:val="0"/>
        <w:spacing w:line="360" w:lineRule="auto"/>
        <w:ind w:firstLine="422" w:firstLineChars="200"/>
        <w:rPr>
          <w:rFonts w:hint="eastAsia" w:ascii="宋体" w:hAnsi="宋体" w:cs="宋体"/>
          <w:szCs w:val="21"/>
        </w:rPr>
      </w:pPr>
      <w:r>
        <w:rPr>
          <w:rFonts w:hint="eastAsia" w:ascii="宋体" w:hAnsi="宋体" w:cs="宋体"/>
          <w:b/>
          <w:bCs/>
          <w:szCs w:val="21"/>
        </w:rPr>
        <w:t>1</w:t>
      </w:r>
      <w:r>
        <w:rPr>
          <w:rFonts w:hint="eastAsia" w:ascii="宋体" w:hAnsi="宋体" w:cs="宋体"/>
          <w:szCs w:val="21"/>
        </w:rPr>
        <w:t>.采购人依法确定中标人后现场发布中标公告。</w:t>
      </w:r>
      <w:r>
        <w:rPr>
          <w:rFonts w:hint="eastAsia" w:ascii="宋体" w:hAnsi="宋体" w:cs="宋体"/>
          <w:b/>
          <w:szCs w:val="21"/>
        </w:rPr>
        <w:t>2</w:t>
      </w:r>
      <w:r>
        <w:rPr>
          <w:rFonts w:hint="eastAsia" w:ascii="宋体" w:hAnsi="宋体" w:cs="宋体"/>
          <w:szCs w:val="21"/>
        </w:rPr>
        <w:t>.采购人与中标人应当在中标之日起30日内签订采购合同。中标人拖延、拒签合同的,取消中标资格。</w:t>
      </w:r>
    </w:p>
    <w:p w14:paraId="19A04E14">
      <w:pPr>
        <w:pStyle w:val="15"/>
        <w:snapToGrid w:val="0"/>
        <w:spacing w:line="360" w:lineRule="auto"/>
        <w:ind w:firstLine="562" w:firstLineChars="200"/>
        <w:jc w:val="center"/>
        <w:outlineLvl w:val="0"/>
        <w:rPr>
          <w:rFonts w:hint="eastAsia" w:hAnsi="宋体"/>
          <w:b/>
          <w:sz w:val="28"/>
          <w:szCs w:val="28"/>
        </w:rPr>
      </w:pPr>
    </w:p>
    <w:p w14:paraId="35E0249E">
      <w:pPr>
        <w:pStyle w:val="15"/>
        <w:snapToGrid w:val="0"/>
        <w:spacing w:line="360" w:lineRule="auto"/>
        <w:ind w:firstLine="562" w:firstLineChars="200"/>
        <w:jc w:val="center"/>
        <w:outlineLvl w:val="0"/>
        <w:rPr>
          <w:rFonts w:hint="eastAsia" w:hAnsi="宋体"/>
          <w:b/>
          <w:sz w:val="28"/>
          <w:szCs w:val="28"/>
        </w:rPr>
      </w:pPr>
      <w:bookmarkStart w:id="11" w:name="_Toc499805059"/>
    </w:p>
    <w:p w14:paraId="72E98295">
      <w:pPr>
        <w:pStyle w:val="15"/>
        <w:snapToGrid w:val="0"/>
        <w:spacing w:line="360" w:lineRule="auto"/>
        <w:ind w:firstLine="562" w:firstLineChars="200"/>
        <w:jc w:val="center"/>
        <w:outlineLvl w:val="0"/>
        <w:rPr>
          <w:rFonts w:hint="eastAsia" w:hAnsi="宋体"/>
          <w:b/>
          <w:sz w:val="28"/>
          <w:szCs w:val="28"/>
        </w:rPr>
      </w:pPr>
    </w:p>
    <w:p w14:paraId="03438F62">
      <w:pPr>
        <w:pStyle w:val="15"/>
        <w:snapToGrid w:val="0"/>
        <w:spacing w:line="360" w:lineRule="auto"/>
        <w:ind w:firstLine="562" w:firstLineChars="200"/>
        <w:jc w:val="center"/>
        <w:outlineLvl w:val="0"/>
        <w:rPr>
          <w:rFonts w:hint="eastAsia" w:hAnsi="宋体"/>
          <w:b/>
          <w:sz w:val="28"/>
          <w:szCs w:val="28"/>
        </w:rPr>
      </w:pPr>
    </w:p>
    <w:p w14:paraId="51E062D0">
      <w:pPr>
        <w:pStyle w:val="15"/>
        <w:snapToGrid w:val="0"/>
        <w:spacing w:line="360" w:lineRule="auto"/>
        <w:ind w:firstLine="562" w:firstLineChars="200"/>
        <w:jc w:val="center"/>
        <w:outlineLvl w:val="0"/>
        <w:rPr>
          <w:rFonts w:hint="eastAsia" w:hAnsi="宋体"/>
          <w:b/>
          <w:sz w:val="28"/>
          <w:szCs w:val="28"/>
        </w:rPr>
      </w:pPr>
    </w:p>
    <w:p w14:paraId="283BB8F5">
      <w:pPr>
        <w:pStyle w:val="15"/>
        <w:snapToGrid w:val="0"/>
        <w:spacing w:line="360" w:lineRule="auto"/>
        <w:ind w:firstLine="562" w:firstLineChars="200"/>
        <w:jc w:val="center"/>
        <w:outlineLvl w:val="0"/>
        <w:rPr>
          <w:rFonts w:hint="eastAsia" w:hAnsi="宋体"/>
          <w:b/>
          <w:sz w:val="28"/>
          <w:szCs w:val="28"/>
        </w:rPr>
      </w:pPr>
    </w:p>
    <w:p w14:paraId="16334EFF">
      <w:pPr>
        <w:pStyle w:val="15"/>
        <w:snapToGrid w:val="0"/>
        <w:spacing w:line="360" w:lineRule="auto"/>
        <w:ind w:firstLine="562" w:firstLineChars="200"/>
        <w:jc w:val="center"/>
        <w:outlineLvl w:val="0"/>
        <w:rPr>
          <w:rFonts w:hint="eastAsia" w:hAnsi="宋体"/>
          <w:b/>
          <w:sz w:val="28"/>
          <w:szCs w:val="28"/>
        </w:rPr>
      </w:pPr>
    </w:p>
    <w:p w14:paraId="496A44C2">
      <w:pPr>
        <w:pStyle w:val="15"/>
        <w:snapToGrid w:val="0"/>
        <w:spacing w:line="360" w:lineRule="auto"/>
        <w:ind w:firstLine="562" w:firstLineChars="200"/>
        <w:jc w:val="center"/>
        <w:outlineLvl w:val="0"/>
        <w:rPr>
          <w:rFonts w:hint="eastAsia" w:hAnsi="宋体"/>
          <w:b/>
          <w:sz w:val="28"/>
          <w:szCs w:val="28"/>
        </w:rPr>
      </w:pPr>
    </w:p>
    <w:p w14:paraId="0CDCA231">
      <w:pPr>
        <w:pStyle w:val="15"/>
        <w:snapToGrid w:val="0"/>
        <w:spacing w:line="360" w:lineRule="auto"/>
        <w:ind w:firstLine="562" w:firstLineChars="200"/>
        <w:jc w:val="center"/>
        <w:outlineLvl w:val="0"/>
        <w:rPr>
          <w:rFonts w:hint="eastAsia" w:hAnsi="宋体"/>
          <w:b/>
          <w:sz w:val="28"/>
          <w:szCs w:val="28"/>
        </w:rPr>
      </w:pPr>
    </w:p>
    <w:p w14:paraId="0746F1DE">
      <w:pPr>
        <w:pStyle w:val="15"/>
        <w:snapToGrid w:val="0"/>
        <w:spacing w:line="360" w:lineRule="auto"/>
        <w:ind w:firstLine="562" w:firstLineChars="200"/>
        <w:jc w:val="center"/>
        <w:outlineLvl w:val="0"/>
        <w:rPr>
          <w:rFonts w:hint="eastAsia" w:hAnsi="宋体"/>
          <w:b/>
          <w:sz w:val="28"/>
          <w:szCs w:val="28"/>
        </w:rPr>
      </w:pPr>
    </w:p>
    <w:p w14:paraId="47B990BD">
      <w:pPr>
        <w:pStyle w:val="15"/>
        <w:snapToGrid w:val="0"/>
        <w:spacing w:line="360" w:lineRule="auto"/>
        <w:ind w:firstLine="562" w:firstLineChars="200"/>
        <w:jc w:val="center"/>
        <w:outlineLvl w:val="0"/>
        <w:rPr>
          <w:rFonts w:hint="eastAsia" w:hAnsi="宋体"/>
          <w:b/>
          <w:sz w:val="28"/>
          <w:szCs w:val="28"/>
        </w:rPr>
      </w:pPr>
    </w:p>
    <w:p w14:paraId="34F27A41">
      <w:pPr>
        <w:pStyle w:val="15"/>
        <w:snapToGrid w:val="0"/>
        <w:spacing w:line="360" w:lineRule="auto"/>
        <w:ind w:firstLine="562" w:firstLineChars="200"/>
        <w:jc w:val="center"/>
        <w:outlineLvl w:val="0"/>
        <w:rPr>
          <w:rFonts w:hint="eastAsia" w:hAnsi="宋体"/>
          <w:b/>
          <w:sz w:val="28"/>
          <w:szCs w:val="28"/>
        </w:rPr>
      </w:pPr>
    </w:p>
    <w:p w14:paraId="5548D00D">
      <w:pPr>
        <w:pStyle w:val="15"/>
        <w:snapToGrid w:val="0"/>
        <w:spacing w:line="360" w:lineRule="auto"/>
        <w:ind w:firstLine="562" w:firstLineChars="200"/>
        <w:jc w:val="center"/>
        <w:outlineLvl w:val="0"/>
        <w:rPr>
          <w:rFonts w:hint="eastAsia" w:hAnsi="宋体"/>
          <w:b/>
          <w:sz w:val="28"/>
          <w:szCs w:val="28"/>
        </w:rPr>
      </w:pPr>
    </w:p>
    <w:p w14:paraId="656264A7">
      <w:pPr>
        <w:pStyle w:val="15"/>
        <w:snapToGrid w:val="0"/>
        <w:spacing w:line="360" w:lineRule="auto"/>
        <w:ind w:firstLine="562" w:firstLineChars="200"/>
        <w:jc w:val="center"/>
        <w:outlineLvl w:val="0"/>
        <w:rPr>
          <w:rFonts w:hint="eastAsia" w:hAnsi="宋体"/>
          <w:b/>
          <w:sz w:val="28"/>
          <w:szCs w:val="28"/>
        </w:rPr>
      </w:pPr>
    </w:p>
    <w:p w14:paraId="0ABC4405">
      <w:pPr>
        <w:pStyle w:val="15"/>
        <w:snapToGrid w:val="0"/>
        <w:spacing w:line="360" w:lineRule="auto"/>
        <w:ind w:firstLine="562" w:firstLineChars="200"/>
        <w:jc w:val="center"/>
        <w:outlineLvl w:val="0"/>
        <w:rPr>
          <w:rFonts w:hint="eastAsia" w:hAnsi="宋体"/>
          <w:b/>
          <w:sz w:val="28"/>
          <w:szCs w:val="28"/>
        </w:rPr>
      </w:pPr>
    </w:p>
    <w:p w14:paraId="1B4BB43A">
      <w:pPr>
        <w:pStyle w:val="15"/>
        <w:snapToGrid w:val="0"/>
        <w:spacing w:line="360" w:lineRule="auto"/>
        <w:jc w:val="center"/>
        <w:outlineLvl w:val="0"/>
        <w:rPr>
          <w:rFonts w:hint="eastAsia" w:hAnsi="宋体"/>
          <w:b/>
          <w:sz w:val="28"/>
          <w:szCs w:val="28"/>
        </w:rPr>
      </w:pPr>
      <w:r>
        <w:rPr>
          <w:rFonts w:hint="eastAsia" w:hAnsi="宋体"/>
          <w:b/>
          <w:sz w:val="28"/>
          <w:szCs w:val="28"/>
        </w:rPr>
        <w:t>第三章  评标办法</w:t>
      </w:r>
    </w:p>
    <w:p w14:paraId="424DCEC4">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20"/>
        <w:textAlignment w:val="auto"/>
        <w:rPr>
          <w:rFonts w:hint="eastAsia" w:ascii="宋体" w:hAnsi="宋体" w:cs="宋体"/>
          <w:szCs w:val="21"/>
        </w:rPr>
      </w:pPr>
      <w:r>
        <w:rPr>
          <w:rFonts w:hint="eastAsia" w:ascii="宋体" w:hAnsi="宋体" w:cs="宋体"/>
          <w:szCs w:val="21"/>
        </w:rPr>
        <w:t>为公正、公平、科学地选择中标人，参照《中华人民共和国政府采购法》等有关法律法规的规定，并结合本项目的实际，制定本办法。</w:t>
      </w:r>
    </w:p>
    <w:p w14:paraId="3E0209CC">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20"/>
        <w:textAlignment w:val="auto"/>
        <w:rPr>
          <w:rFonts w:hint="eastAsia" w:ascii="宋体" w:hAnsi="宋体" w:cs="宋体"/>
          <w:bCs/>
          <w:szCs w:val="21"/>
        </w:rPr>
      </w:pPr>
      <w:r>
        <w:rPr>
          <w:rFonts w:hint="eastAsia" w:ascii="宋体" w:hAnsi="宋体" w:cs="宋体"/>
          <w:szCs w:val="21"/>
        </w:rPr>
        <w:t>本办法适用于</w:t>
      </w:r>
      <w:r>
        <w:rPr>
          <w:rFonts w:hint="eastAsia" w:ascii="宋体" w:hAnsi="宋体" w:cs="宋体"/>
          <w:kern w:val="0"/>
          <w:szCs w:val="21"/>
          <w:u w:val="single"/>
        </w:rPr>
        <w:t>浙江康复医院西溪院区康养中心护理服务项目</w:t>
      </w:r>
      <w:r>
        <w:rPr>
          <w:rFonts w:hint="eastAsia" w:ascii="宋体" w:hAnsi="宋体" w:cs="宋体"/>
          <w:bCs/>
          <w:szCs w:val="21"/>
        </w:rPr>
        <w:t>评标。</w:t>
      </w:r>
    </w:p>
    <w:p w14:paraId="6F3EB3B8">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72" w:firstLineChars="196"/>
        <w:textAlignment w:val="auto"/>
        <w:rPr>
          <w:rFonts w:hint="eastAsia" w:ascii="宋体" w:hAnsi="宋体" w:cs="宋体"/>
          <w:b/>
          <w:sz w:val="24"/>
        </w:rPr>
      </w:pPr>
      <w:r>
        <w:rPr>
          <w:rFonts w:hint="eastAsia" w:ascii="宋体" w:hAnsi="宋体" w:cs="宋体"/>
          <w:b/>
          <w:sz w:val="24"/>
        </w:rPr>
        <w:t xml:space="preserve">一、总则 </w:t>
      </w:r>
    </w:p>
    <w:p w14:paraId="5381872A">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20" w:firstLineChars="200"/>
        <w:textAlignment w:val="auto"/>
        <w:rPr>
          <w:rFonts w:hint="eastAsia" w:ascii="宋体" w:hAnsi="宋体" w:cs="宋体"/>
          <w:bCs/>
          <w:szCs w:val="21"/>
        </w:rPr>
      </w:pPr>
      <w:r>
        <w:rPr>
          <w:rFonts w:hint="eastAsia" w:ascii="宋体" w:hAnsi="宋体" w:cs="宋体"/>
          <w:szCs w:val="21"/>
        </w:rPr>
        <w:t>本次评标采用</w:t>
      </w:r>
      <w:r>
        <w:rPr>
          <w:rFonts w:hint="eastAsia" w:ascii="宋体" w:hAnsi="宋体" w:cs="宋体"/>
          <w:b/>
          <w:sz w:val="21"/>
          <w:szCs w:val="21"/>
        </w:rPr>
        <w:t>综合评标法</w:t>
      </w:r>
      <w:r>
        <w:rPr>
          <w:rFonts w:hint="eastAsia" w:ascii="宋体" w:hAnsi="宋体" w:cs="宋体"/>
          <w:sz w:val="21"/>
          <w:szCs w:val="21"/>
        </w:rPr>
        <w:t>，</w:t>
      </w:r>
      <w:r>
        <w:rPr>
          <w:rFonts w:hint="eastAsia" w:ascii="宋体" w:hAnsi="宋体" w:cs="宋体"/>
          <w:szCs w:val="21"/>
        </w:rPr>
        <w:t>合格供应商的评标按投标报价分数排序</w:t>
      </w:r>
      <w:r>
        <w:rPr>
          <w:rFonts w:hint="eastAsia" w:ascii="宋体" w:hAnsi="宋体" w:cs="宋体"/>
          <w:bCs/>
          <w:szCs w:val="21"/>
        </w:rPr>
        <w:t>。</w:t>
      </w:r>
    </w:p>
    <w:p w14:paraId="2B2B30B3">
      <w:pPr>
        <w:pStyle w:val="13"/>
        <w:snapToGrid w:val="0"/>
        <w:spacing w:line="360" w:lineRule="auto"/>
        <w:ind w:firstLine="406" w:firstLineChars="200"/>
        <w:rPr>
          <w:rFonts w:hint="eastAsia" w:hAnsi="宋体" w:cs="宋体"/>
          <w:sz w:val="21"/>
          <w:szCs w:val="21"/>
        </w:rPr>
      </w:pPr>
      <w:r>
        <w:rPr>
          <w:rFonts w:hint="eastAsia" w:hAnsi="宋体" w:cs="宋体"/>
          <w:b/>
          <w:bCs/>
          <w:sz w:val="21"/>
          <w:szCs w:val="21"/>
        </w:rPr>
        <w:t>在报价评审时，如发现下列情形之一的，投标将被视为无效：</w:t>
      </w:r>
      <w:r>
        <w:rPr>
          <w:rFonts w:hint="eastAsia" w:hAnsi="宋体" w:cs="宋体"/>
          <w:sz w:val="21"/>
          <w:szCs w:val="21"/>
        </w:rPr>
        <w:t>（1）报价超过最高限价的；（2）投标报价具有选择性的；（3）不接受按招标文件规定的修正错误原则修正后的报价的；（4）报价明显低于其他通过符合性审查供应商的报价，且供应商不能证明其报价合理性，有可能影响产品质量或者不能诚信履约的。</w:t>
      </w:r>
    </w:p>
    <w:p w14:paraId="32F7FFB8">
      <w:pPr>
        <w:pStyle w:val="13"/>
        <w:numPr>
          <w:ilvl w:val="0"/>
          <w:numId w:val="4"/>
        </w:numPr>
        <w:snapToGrid w:val="0"/>
        <w:spacing w:line="360" w:lineRule="auto"/>
        <w:ind w:firstLine="466" w:firstLineChars="200"/>
        <w:rPr>
          <w:rFonts w:hint="eastAsia" w:hAnsi="宋体" w:cs="宋体"/>
          <w:b/>
          <w:kern w:val="0"/>
          <w:sz w:val="24"/>
        </w:rPr>
      </w:pPr>
      <w:r>
        <w:rPr>
          <w:rFonts w:hint="eastAsia" w:hAnsi="宋体" w:cs="宋体"/>
          <w:b/>
          <w:sz w:val="24"/>
        </w:rPr>
        <w:t xml:space="preserve">评审内容及标准 </w:t>
      </w:r>
      <w:r>
        <w:rPr>
          <w:rFonts w:hint="eastAsia" w:hAnsi="宋体"/>
          <w:bCs/>
          <w:sz w:val="21"/>
          <w:szCs w:val="21"/>
        </w:rPr>
        <w:t>本次投标以</w:t>
      </w:r>
      <w:r>
        <w:rPr>
          <w:rFonts w:hint="eastAsia" w:hAnsi="宋体"/>
          <w:sz w:val="21"/>
          <w:szCs w:val="21"/>
        </w:rPr>
        <w:t>项目总价</w:t>
      </w:r>
      <w:r>
        <w:rPr>
          <w:rFonts w:hint="eastAsia" w:hAnsi="宋体"/>
          <w:bCs/>
          <w:sz w:val="21"/>
          <w:szCs w:val="21"/>
        </w:rPr>
        <w:t>进行投标报价，按报价高低进行排序，相同分数按资质排序，资质报价都相同随机抽取</w:t>
      </w:r>
      <w:r>
        <w:rPr>
          <w:rFonts w:hint="eastAsia" w:hAnsi="宋体"/>
          <w:sz w:val="21"/>
          <w:szCs w:val="21"/>
        </w:rPr>
        <w:t>。</w:t>
      </w:r>
    </w:p>
    <w:tbl>
      <w:tblPr>
        <w:tblStyle w:val="22"/>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33"/>
        <w:gridCol w:w="1134"/>
        <w:gridCol w:w="5906"/>
        <w:gridCol w:w="883"/>
      </w:tblGrid>
      <w:tr w14:paraId="3BC20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1433" w:type="dxa"/>
            <w:tcBorders>
              <w:top w:val="single" w:color="000000" w:sz="4" w:space="0"/>
              <w:left w:val="single" w:color="000000" w:sz="4" w:space="0"/>
              <w:bottom w:val="single" w:color="000000" w:sz="4" w:space="0"/>
              <w:right w:val="single" w:color="000000" w:sz="4" w:space="0"/>
            </w:tcBorders>
            <w:vAlign w:val="center"/>
          </w:tcPr>
          <w:p w14:paraId="6F1A14A0">
            <w:pPr>
              <w:widowControl/>
              <w:jc w:val="center"/>
              <w:rPr>
                <w:rFonts w:hint="eastAsia" w:ascii="宋体" w:hAnsi="宋体"/>
                <w:szCs w:val="21"/>
              </w:rPr>
            </w:pPr>
            <w:r>
              <w:rPr>
                <w:rFonts w:hint="eastAsia" w:ascii="宋体" w:hAnsi="宋体"/>
                <w:szCs w:val="21"/>
              </w:rPr>
              <w:t>评分因素</w:t>
            </w:r>
          </w:p>
        </w:tc>
        <w:tc>
          <w:tcPr>
            <w:tcW w:w="1134" w:type="dxa"/>
            <w:tcBorders>
              <w:top w:val="single" w:color="000000" w:sz="4" w:space="0"/>
              <w:left w:val="single" w:color="000000" w:sz="4" w:space="0"/>
              <w:bottom w:val="single" w:color="000000" w:sz="4" w:space="0"/>
              <w:right w:val="single" w:color="000000" w:sz="4" w:space="0"/>
            </w:tcBorders>
            <w:vAlign w:val="center"/>
          </w:tcPr>
          <w:p w14:paraId="569635B6">
            <w:pPr>
              <w:widowControl/>
              <w:jc w:val="center"/>
              <w:rPr>
                <w:rFonts w:hint="eastAsia" w:ascii="宋体" w:hAnsi="宋体"/>
                <w:szCs w:val="21"/>
              </w:rPr>
            </w:pPr>
            <w:r>
              <w:rPr>
                <w:rFonts w:hint="eastAsia" w:ascii="宋体" w:hAnsi="宋体"/>
                <w:szCs w:val="21"/>
              </w:rPr>
              <w:t>评分项目</w:t>
            </w:r>
          </w:p>
        </w:tc>
        <w:tc>
          <w:tcPr>
            <w:tcW w:w="5906" w:type="dxa"/>
            <w:tcBorders>
              <w:top w:val="single" w:color="000000" w:sz="4" w:space="0"/>
              <w:left w:val="single" w:color="000000" w:sz="4" w:space="0"/>
              <w:bottom w:val="single" w:color="000000" w:sz="4" w:space="0"/>
              <w:right w:val="single" w:color="000000" w:sz="4" w:space="0"/>
            </w:tcBorders>
            <w:vAlign w:val="center"/>
          </w:tcPr>
          <w:p w14:paraId="5B975D0F">
            <w:pPr>
              <w:widowControl/>
              <w:jc w:val="center"/>
              <w:rPr>
                <w:rFonts w:hint="eastAsia" w:ascii="宋体" w:hAnsi="宋体"/>
                <w:szCs w:val="21"/>
              </w:rPr>
            </w:pPr>
            <w:r>
              <w:rPr>
                <w:rFonts w:hint="eastAsia" w:ascii="宋体" w:hAnsi="宋体"/>
                <w:szCs w:val="21"/>
              </w:rPr>
              <w:t>评分标准及说明</w:t>
            </w:r>
          </w:p>
        </w:tc>
        <w:tc>
          <w:tcPr>
            <w:tcW w:w="883" w:type="dxa"/>
            <w:tcBorders>
              <w:top w:val="single" w:color="000000" w:sz="4" w:space="0"/>
              <w:left w:val="single" w:color="000000" w:sz="4" w:space="0"/>
              <w:bottom w:val="single" w:color="000000" w:sz="4" w:space="0"/>
              <w:right w:val="single" w:color="000000" w:sz="4" w:space="0"/>
            </w:tcBorders>
            <w:vAlign w:val="center"/>
          </w:tcPr>
          <w:p w14:paraId="58D9EF66">
            <w:pPr>
              <w:widowControl/>
              <w:jc w:val="center"/>
              <w:rPr>
                <w:rFonts w:hint="eastAsia" w:ascii="宋体" w:hAnsi="宋体"/>
                <w:szCs w:val="21"/>
              </w:rPr>
            </w:pPr>
            <w:r>
              <w:rPr>
                <w:rFonts w:hint="eastAsia" w:ascii="宋体" w:hAnsi="宋体"/>
                <w:szCs w:val="21"/>
              </w:rPr>
              <w:t>分值</w:t>
            </w:r>
          </w:p>
        </w:tc>
      </w:tr>
      <w:tr w14:paraId="6F3B9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2567" w:type="dxa"/>
            <w:gridSpan w:val="2"/>
            <w:tcBorders>
              <w:top w:val="single" w:color="000000" w:sz="4" w:space="0"/>
              <w:left w:val="single" w:color="000000" w:sz="4" w:space="0"/>
              <w:bottom w:val="single" w:color="auto" w:sz="4" w:space="0"/>
              <w:right w:val="single" w:color="000000" w:sz="4" w:space="0"/>
            </w:tcBorders>
            <w:vAlign w:val="center"/>
          </w:tcPr>
          <w:p w14:paraId="1E503DD8">
            <w:pPr>
              <w:widowControl/>
              <w:jc w:val="center"/>
              <w:rPr>
                <w:rFonts w:hint="eastAsia" w:ascii="宋体" w:hAnsi="宋体"/>
                <w:szCs w:val="21"/>
              </w:rPr>
            </w:pPr>
            <w:r>
              <w:rPr>
                <w:rFonts w:hint="eastAsia" w:ascii="宋体" w:hAnsi="宋体"/>
                <w:szCs w:val="21"/>
              </w:rPr>
              <w:t>报价部分（</w:t>
            </w:r>
            <w:r>
              <w:rPr>
                <w:rFonts w:ascii="宋体" w:hAnsi="宋体"/>
                <w:szCs w:val="21"/>
              </w:rPr>
              <w:t>1</w:t>
            </w:r>
            <w:r>
              <w:rPr>
                <w:rFonts w:hint="eastAsia" w:ascii="宋体" w:hAnsi="宋体"/>
                <w:szCs w:val="21"/>
              </w:rPr>
              <w:t>0分）</w:t>
            </w:r>
          </w:p>
        </w:tc>
        <w:tc>
          <w:tcPr>
            <w:tcW w:w="5906" w:type="dxa"/>
            <w:tcBorders>
              <w:top w:val="single" w:color="000000" w:sz="4" w:space="0"/>
              <w:left w:val="single" w:color="000000" w:sz="4" w:space="0"/>
              <w:bottom w:val="single" w:color="000000" w:sz="4" w:space="0"/>
              <w:right w:val="single" w:color="000000" w:sz="4" w:space="0"/>
            </w:tcBorders>
            <w:vAlign w:val="center"/>
          </w:tcPr>
          <w:p w14:paraId="07614A89">
            <w:pPr>
              <w:widowControl/>
              <w:rPr>
                <w:rFonts w:hint="eastAsia" w:ascii="宋体" w:hAnsi="宋体" w:eastAsia="宋体" w:cs="宋体"/>
                <w:szCs w:val="21"/>
              </w:rPr>
            </w:pPr>
            <w:r>
              <w:rPr>
                <w:rFonts w:hint="eastAsia" w:ascii="宋体" w:hAnsi="宋体" w:eastAsia="宋体" w:cs="宋体"/>
                <w:szCs w:val="21"/>
              </w:rPr>
              <w:t>满足招标文件要求的供应商投标报价的算数平均值为评标基准价，供应商报价等于评审基准价的为满分，其他报价按照与评审基准价的偏离度计算：</w:t>
            </w:r>
          </w:p>
          <w:p w14:paraId="3A750CB0">
            <w:pPr>
              <w:widowControl/>
              <w:rPr>
                <w:rFonts w:hint="eastAsia" w:ascii="宋体" w:hAnsi="宋体" w:eastAsia="宋体" w:cs="宋体"/>
                <w:szCs w:val="21"/>
              </w:rPr>
            </w:pPr>
            <w:r>
              <w:rPr>
                <w:rFonts w:hint="eastAsia" w:ascii="宋体" w:hAnsi="宋体" w:eastAsia="宋体" w:cs="宋体"/>
                <w:szCs w:val="21"/>
              </w:rPr>
              <w:t>偏离度（X%）=|供应商报价-评标基准价|/评标基准价*100%</w:t>
            </w:r>
          </w:p>
          <w:p w14:paraId="37748824">
            <w:pPr>
              <w:widowControl/>
              <w:rPr>
                <w:rFonts w:hint="eastAsia" w:ascii="宋体" w:hAnsi="宋体" w:eastAsia="宋体" w:cs="宋体"/>
                <w:szCs w:val="21"/>
              </w:rPr>
            </w:pPr>
            <w:r>
              <w:rPr>
                <w:rFonts w:hint="eastAsia" w:ascii="宋体" w:hAnsi="宋体" w:eastAsia="宋体" w:cs="宋体"/>
                <w:szCs w:val="21"/>
              </w:rPr>
              <w:t>报价得分=标准分×（1-X%）。</w:t>
            </w:r>
          </w:p>
          <w:p w14:paraId="0C979C81">
            <w:pPr>
              <w:widowControl/>
              <w:rPr>
                <w:rFonts w:hint="eastAsia" w:ascii="宋体" w:hAnsi="宋体" w:eastAsia="宋体" w:cs="宋体"/>
                <w:szCs w:val="21"/>
              </w:rPr>
            </w:pPr>
            <w:r>
              <w:rPr>
                <w:rFonts w:hint="eastAsia" w:ascii="宋体" w:hAnsi="宋体" w:eastAsia="宋体" w:cs="宋体"/>
                <w:szCs w:val="21"/>
              </w:rPr>
              <w:t>注：投标报价得分保留2位小数。</w:t>
            </w:r>
          </w:p>
        </w:tc>
        <w:tc>
          <w:tcPr>
            <w:tcW w:w="883" w:type="dxa"/>
            <w:tcBorders>
              <w:top w:val="single" w:color="000000" w:sz="4" w:space="0"/>
              <w:left w:val="single" w:color="000000" w:sz="4" w:space="0"/>
              <w:bottom w:val="single" w:color="000000" w:sz="4" w:space="0"/>
              <w:right w:val="single" w:color="000000" w:sz="4" w:space="0"/>
            </w:tcBorders>
            <w:vAlign w:val="center"/>
          </w:tcPr>
          <w:p w14:paraId="2F5BC905">
            <w:pPr>
              <w:widowControl/>
              <w:jc w:val="center"/>
              <w:rPr>
                <w:rFonts w:hint="eastAsia" w:ascii="宋体" w:hAnsi="宋体"/>
                <w:color w:val="FF0000"/>
                <w:szCs w:val="21"/>
              </w:rPr>
            </w:pPr>
            <w:r>
              <w:rPr>
                <w:rFonts w:ascii="宋体" w:hAnsi="宋体"/>
                <w:szCs w:val="21"/>
              </w:rPr>
              <w:t>10</w:t>
            </w:r>
          </w:p>
        </w:tc>
      </w:tr>
      <w:tr w14:paraId="4B244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433" w:type="dxa"/>
            <w:vMerge w:val="restart"/>
            <w:tcBorders>
              <w:top w:val="single" w:color="000000" w:sz="4" w:space="0"/>
              <w:left w:val="single" w:color="000000" w:sz="4" w:space="0"/>
              <w:right w:val="single" w:color="000000" w:sz="4" w:space="0"/>
            </w:tcBorders>
            <w:vAlign w:val="center"/>
          </w:tcPr>
          <w:p w14:paraId="5CCC8A01">
            <w:pPr>
              <w:widowControl/>
              <w:jc w:val="center"/>
              <w:rPr>
                <w:rFonts w:hint="eastAsia" w:ascii="宋体" w:hAnsi="宋体"/>
                <w:szCs w:val="21"/>
              </w:rPr>
            </w:pPr>
            <w:r>
              <w:rPr>
                <w:rFonts w:hint="eastAsia" w:ascii="宋体" w:hAnsi="宋体"/>
                <w:szCs w:val="21"/>
              </w:rPr>
              <w:t>商务部分（</w:t>
            </w:r>
            <w:r>
              <w:rPr>
                <w:rFonts w:hint="eastAsia" w:ascii="宋体" w:hAnsi="宋体"/>
                <w:szCs w:val="21"/>
                <w:lang w:val="en-US" w:eastAsia="zh-CN"/>
              </w:rPr>
              <w:t>18</w:t>
            </w:r>
            <w:r>
              <w:rPr>
                <w:rFonts w:hint="eastAsia" w:ascii="宋体" w:hAnsi="宋体"/>
                <w:szCs w:val="21"/>
              </w:rPr>
              <w:t>分）</w:t>
            </w:r>
          </w:p>
        </w:tc>
        <w:tc>
          <w:tcPr>
            <w:tcW w:w="1134" w:type="dxa"/>
            <w:tcBorders>
              <w:top w:val="single" w:color="000000" w:sz="4" w:space="0"/>
              <w:left w:val="single" w:color="000000" w:sz="4" w:space="0"/>
              <w:bottom w:val="single" w:color="auto" w:sz="4" w:space="0"/>
              <w:right w:val="single" w:color="000000" w:sz="4" w:space="0"/>
            </w:tcBorders>
            <w:vAlign w:val="center"/>
          </w:tcPr>
          <w:p w14:paraId="2DD73157">
            <w:pPr>
              <w:widowControl/>
              <w:snapToGrid w:val="0"/>
              <w:jc w:val="center"/>
              <w:rPr>
                <w:rFonts w:hint="eastAsia" w:ascii="宋体" w:hAnsi="宋体"/>
                <w:szCs w:val="21"/>
                <w:highlight w:val="none"/>
              </w:rPr>
            </w:pPr>
            <w:r>
              <w:rPr>
                <w:rFonts w:hint="eastAsia" w:ascii="宋体" w:hAnsi="宋体"/>
                <w:szCs w:val="21"/>
                <w:highlight w:val="none"/>
              </w:rPr>
              <w:t>管理体系认证证书</w:t>
            </w:r>
          </w:p>
          <w:p w14:paraId="338C9C71">
            <w:pPr>
              <w:widowControl/>
              <w:snapToGrid w:val="0"/>
              <w:jc w:val="center"/>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3</w:t>
            </w:r>
            <w:r>
              <w:rPr>
                <w:rFonts w:hint="eastAsia" w:ascii="宋体" w:hAnsi="宋体"/>
                <w:szCs w:val="21"/>
                <w:highlight w:val="none"/>
              </w:rPr>
              <w:t>分）</w:t>
            </w:r>
          </w:p>
        </w:tc>
        <w:tc>
          <w:tcPr>
            <w:tcW w:w="5906" w:type="dxa"/>
            <w:tcBorders>
              <w:top w:val="single" w:color="000000" w:sz="4" w:space="0"/>
              <w:left w:val="single" w:color="000000" w:sz="4" w:space="0"/>
              <w:bottom w:val="single" w:color="000000" w:sz="4" w:space="0"/>
              <w:right w:val="single" w:color="000000" w:sz="4" w:space="0"/>
            </w:tcBorders>
            <w:vAlign w:val="center"/>
          </w:tcPr>
          <w:p w14:paraId="345A599E">
            <w:pPr>
              <w:wordWrap w:val="0"/>
              <w:rPr>
                <w:rFonts w:hint="eastAsia" w:ascii="宋体" w:hAnsi="宋体" w:eastAsia="宋体" w:cs="宋体"/>
                <w:szCs w:val="21"/>
                <w:highlight w:val="none"/>
              </w:rPr>
            </w:pPr>
            <w:r>
              <w:rPr>
                <w:rFonts w:hint="eastAsia" w:ascii="宋体" w:hAnsi="宋体" w:eastAsia="宋体" w:cs="宋体"/>
                <w:szCs w:val="21"/>
                <w:highlight w:val="none"/>
              </w:rPr>
              <w:t>投标人具有有效的：</w:t>
            </w:r>
          </w:p>
          <w:p w14:paraId="092CCF94">
            <w:pPr>
              <w:wordWrap w:val="0"/>
              <w:rPr>
                <w:rFonts w:hint="eastAsia" w:ascii="宋体" w:hAnsi="宋体" w:eastAsia="宋体" w:cs="宋体"/>
                <w:szCs w:val="21"/>
                <w:highlight w:val="none"/>
              </w:rPr>
            </w:pPr>
            <w:r>
              <w:rPr>
                <w:rFonts w:hint="eastAsia" w:ascii="宋体" w:hAnsi="宋体" w:eastAsia="宋体" w:cs="宋体"/>
                <w:szCs w:val="21"/>
                <w:highlight w:val="none"/>
              </w:rPr>
              <w:t>1、ISO9001质量管理体系认证证书得</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分；</w:t>
            </w:r>
          </w:p>
          <w:p w14:paraId="172417B1">
            <w:pPr>
              <w:wordWrap w:val="0"/>
              <w:rPr>
                <w:rFonts w:hint="eastAsia" w:ascii="宋体" w:hAnsi="宋体" w:eastAsia="宋体" w:cs="宋体"/>
                <w:szCs w:val="21"/>
                <w:highlight w:val="none"/>
              </w:rPr>
            </w:pPr>
            <w:r>
              <w:rPr>
                <w:rFonts w:hint="eastAsia" w:ascii="宋体" w:hAnsi="宋体" w:eastAsia="宋体" w:cs="宋体"/>
                <w:szCs w:val="21"/>
                <w:highlight w:val="none"/>
              </w:rPr>
              <w:t>2、ISO14001环境管理体系认证证书得</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分；</w:t>
            </w:r>
          </w:p>
          <w:p w14:paraId="5EAD9A3F">
            <w:pPr>
              <w:wordWrap w:val="0"/>
              <w:rPr>
                <w:rFonts w:hint="eastAsia" w:ascii="宋体" w:hAnsi="宋体" w:eastAsia="宋体" w:cs="宋体"/>
                <w:szCs w:val="21"/>
                <w:highlight w:val="none"/>
              </w:rPr>
            </w:pPr>
            <w:r>
              <w:rPr>
                <w:rFonts w:hint="eastAsia" w:ascii="宋体" w:hAnsi="宋体" w:eastAsia="宋体" w:cs="宋体"/>
                <w:szCs w:val="21"/>
                <w:highlight w:val="none"/>
              </w:rPr>
              <w:t>3、ISO45001职业健康安全管理体系认证证书</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分；</w:t>
            </w:r>
          </w:p>
          <w:p w14:paraId="28827A24">
            <w:pPr>
              <w:rPr>
                <w:rFonts w:hint="eastAsia" w:ascii="宋体" w:hAnsi="宋体" w:eastAsia="宋体" w:cs="宋体"/>
                <w:szCs w:val="21"/>
                <w:highlight w:val="none"/>
              </w:rPr>
            </w:pPr>
            <w:r>
              <w:rPr>
                <w:rFonts w:hint="eastAsia" w:ascii="宋体" w:hAnsi="宋体" w:eastAsia="宋体" w:cs="宋体"/>
                <w:szCs w:val="21"/>
                <w:highlight w:val="none"/>
              </w:rPr>
              <w:t>备注：</w:t>
            </w:r>
            <w:r>
              <w:rPr>
                <w:rFonts w:hint="eastAsia" w:ascii="宋体" w:hAnsi="宋体" w:eastAsia="宋体" w:cs="宋体"/>
                <w:spacing w:val="-3"/>
                <w:szCs w:val="21"/>
                <w:highlight w:val="none"/>
              </w:rPr>
              <w:t>须提供有效期内的证书原件扫</w:t>
            </w:r>
            <w:r>
              <w:rPr>
                <w:rFonts w:hint="eastAsia" w:ascii="宋体" w:hAnsi="宋体" w:eastAsia="宋体" w:cs="宋体"/>
                <w:spacing w:val="9"/>
                <w:szCs w:val="21"/>
                <w:highlight w:val="none"/>
              </w:rPr>
              <w:t>描件</w:t>
            </w:r>
            <w:r>
              <w:rPr>
                <w:rFonts w:hint="eastAsia" w:ascii="宋体" w:hAnsi="宋体" w:eastAsia="宋体" w:cs="宋体"/>
                <w:szCs w:val="21"/>
                <w:highlight w:val="none"/>
              </w:rPr>
              <w:t>或复印件加盖投标人公章</w:t>
            </w:r>
            <w:r>
              <w:rPr>
                <w:rFonts w:hint="eastAsia" w:ascii="宋体" w:hAnsi="宋体" w:eastAsia="宋体" w:cs="宋体"/>
                <w:spacing w:val="9"/>
                <w:szCs w:val="21"/>
                <w:highlight w:val="none"/>
              </w:rPr>
              <w:t>及国家市场监督管理总局全国认证认</w:t>
            </w:r>
            <w:r>
              <w:rPr>
                <w:rFonts w:hint="eastAsia" w:ascii="宋体" w:hAnsi="宋体" w:eastAsia="宋体" w:cs="宋体"/>
                <w:spacing w:val="-19"/>
                <w:szCs w:val="21"/>
                <w:highlight w:val="none"/>
              </w:rPr>
              <w:t>可</w:t>
            </w:r>
            <w:r>
              <w:rPr>
                <w:rFonts w:hint="eastAsia" w:ascii="宋体" w:hAnsi="宋体" w:eastAsia="宋体" w:cs="宋体"/>
                <w:spacing w:val="37"/>
                <w:szCs w:val="21"/>
                <w:highlight w:val="none"/>
              </w:rPr>
              <w:t xml:space="preserve">  </w:t>
            </w:r>
            <w:r>
              <w:rPr>
                <w:rFonts w:hint="eastAsia" w:ascii="宋体" w:hAnsi="宋体" w:eastAsia="宋体" w:cs="宋体"/>
                <w:spacing w:val="-19"/>
                <w:szCs w:val="21"/>
                <w:highlight w:val="none"/>
              </w:rPr>
              <w:t>信</w:t>
            </w:r>
            <w:r>
              <w:rPr>
                <w:rFonts w:hint="eastAsia" w:ascii="宋体" w:hAnsi="宋体" w:eastAsia="宋体" w:cs="宋体"/>
                <w:spacing w:val="41"/>
                <w:szCs w:val="21"/>
                <w:highlight w:val="none"/>
              </w:rPr>
              <w:t xml:space="preserve">  </w:t>
            </w:r>
            <w:r>
              <w:rPr>
                <w:rFonts w:hint="eastAsia" w:ascii="宋体" w:hAnsi="宋体" w:eastAsia="宋体" w:cs="宋体"/>
                <w:spacing w:val="-19"/>
                <w:szCs w:val="21"/>
                <w:highlight w:val="none"/>
              </w:rPr>
              <w:t>息</w:t>
            </w:r>
            <w:r>
              <w:rPr>
                <w:rFonts w:hint="eastAsia" w:ascii="宋体" w:hAnsi="宋体" w:eastAsia="宋体" w:cs="宋体"/>
                <w:spacing w:val="37"/>
                <w:szCs w:val="21"/>
                <w:highlight w:val="none"/>
              </w:rPr>
              <w:t xml:space="preserve">  </w:t>
            </w:r>
            <w:r>
              <w:rPr>
                <w:rFonts w:hint="eastAsia" w:ascii="宋体" w:hAnsi="宋体" w:eastAsia="宋体" w:cs="宋体"/>
                <w:spacing w:val="-19"/>
                <w:szCs w:val="21"/>
                <w:highlight w:val="none"/>
              </w:rPr>
              <w:t>公</w:t>
            </w:r>
            <w:r>
              <w:rPr>
                <w:rFonts w:hint="eastAsia" w:ascii="宋体" w:hAnsi="宋体" w:eastAsia="宋体" w:cs="宋体"/>
                <w:spacing w:val="39"/>
                <w:szCs w:val="21"/>
                <w:highlight w:val="none"/>
              </w:rPr>
              <w:t xml:space="preserve">  </w:t>
            </w:r>
            <w:r>
              <w:rPr>
                <w:rFonts w:hint="eastAsia" w:ascii="宋体" w:hAnsi="宋体" w:eastAsia="宋体" w:cs="宋体"/>
                <w:spacing w:val="-19"/>
                <w:szCs w:val="21"/>
                <w:highlight w:val="none"/>
              </w:rPr>
              <w:t>共</w:t>
            </w:r>
            <w:r>
              <w:rPr>
                <w:rFonts w:hint="eastAsia" w:ascii="宋体" w:hAnsi="宋体" w:eastAsia="宋体" w:cs="宋体"/>
                <w:spacing w:val="34"/>
                <w:szCs w:val="21"/>
                <w:highlight w:val="none"/>
              </w:rPr>
              <w:t xml:space="preserve">  </w:t>
            </w:r>
            <w:r>
              <w:rPr>
                <w:rFonts w:hint="eastAsia" w:ascii="宋体" w:hAnsi="宋体" w:eastAsia="宋体" w:cs="宋体"/>
                <w:spacing w:val="-19"/>
                <w:szCs w:val="21"/>
                <w:highlight w:val="none"/>
              </w:rPr>
              <w:t>服</w:t>
            </w:r>
            <w:r>
              <w:rPr>
                <w:rFonts w:hint="eastAsia" w:ascii="宋体" w:hAnsi="宋体" w:eastAsia="宋体" w:cs="宋体"/>
                <w:spacing w:val="39"/>
                <w:szCs w:val="21"/>
                <w:highlight w:val="none"/>
              </w:rPr>
              <w:t xml:space="preserve">  </w:t>
            </w:r>
            <w:r>
              <w:rPr>
                <w:rFonts w:hint="eastAsia" w:ascii="宋体" w:hAnsi="宋体" w:eastAsia="宋体" w:cs="宋体"/>
                <w:spacing w:val="-19"/>
                <w:szCs w:val="21"/>
                <w:highlight w:val="none"/>
              </w:rPr>
              <w:t>务</w:t>
            </w:r>
            <w:r>
              <w:rPr>
                <w:rFonts w:hint="eastAsia" w:ascii="宋体" w:hAnsi="宋体" w:eastAsia="宋体" w:cs="宋体"/>
                <w:spacing w:val="34"/>
                <w:szCs w:val="21"/>
                <w:highlight w:val="none"/>
              </w:rPr>
              <w:t xml:space="preserve">  </w:t>
            </w:r>
            <w:r>
              <w:rPr>
                <w:rFonts w:hint="eastAsia" w:ascii="宋体" w:hAnsi="宋体" w:eastAsia="宋体" w:cs="宋体"/>
                <w:spacing w:val="-19"/>
                <w:szCs w:val="21"/>
                <w:highlight w:val="none"/>
              </w:rPr>
              <w:t>平   台</w:t>
            </w:r>
            <w:r>
              <w:rPr>
                <w:rFonts w:hint="eastAsia" w:ascii="宋体" w:hAnsi="宋体" w:eastAsia="宋体" w:cs="宋体"/>
                <w:szCs w:val="21"/>
                <w:highlight w:val="none"/>
              </w:rPr>
              <w:t>(</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"http://cx.cnca.cn/" </w:instrText>
            </w:r>
            <w:r>
              <w:rPr>
                <w:rFonts w:hint="eastAsia" w:ascii="宋体" w:hAnsi="宋体" w:eastAsia="宋体" w:cs="宋体"/>
                <w:highlight w:val="none"/>
              </w:rPr>
              <w:fldChar w:fldCharType="separate"/>
            </w:r>
            <w:r>
              <w:rPr>
                <w:rFonts w:hint="eastAsia" w:ascii="宋体" w:hAnsi="宋体" w:eastAsia="宋体" w:cs="宋体"/>
                <w:szCs w:val="21"/>
                <w:highlight w:val="none"/>
              </w:rPr>
              <w:t>http://cx.cnca.cn/</w:t>
            </w:r>
            <w:r>
              <w:rPr>
                <w:rFonts w:hint="eastAsia" w:ascii="宋体" w:hAnsi="宋体" w:eastAsia="宋体" w:cs="宋体"/>
                <w:highlight w:val="none"/>
              </w:rPr>
              <w:fldChar w:fldCharType="end"/>
            </w:r>
            <w:r>
              <w:rPr>
                <w:rFonts w:hint="eastAsia" w:ascii="宋体" w:hAnsi="宋体" w:eastAsia="宋体" w:cs="宋体"/>
                <w:szCs w:val="21"/>
                <w:highlight w:val="none"/>
              </w:rPr>
              <w:t>)</w:t>
            </w:r>
            <w:r>
              <w:rPr>
                <w:rFonts w:hint="eastAsia" w:ascii="宋体" w:hAnsi="宋体" w:eastAsia="宋体" w:cs="宋体"/>
                <w:spacing w:val="43"/>
                <w:szCs w:val="21"/>
                <w:highlight w:val="none"/>
              </w:rPr>
              <w:t xml:space="preserve"> </w:t>
            </w:r>
            <w:r>
              <w:rPr>
                <w:rFonts w:hint="eastAsia" w:ascii="宋体" w:hAnsi="宋体" w:eastAsia="宋体" w:cs="宋体"/>
                <w:szCs w:val="21"/>
                <w:highlight w:val="none"/>
              </w:rPr>
              <w:t>的查询结果截图，</w:t>
            </w:r>
            <w:r>
              <w:rPr>
                <w:rFonts w:hint="eastAsia" w:ascii="宋体" w:hAnsi="宋体" w:eastAsia="宋体" w:cs="宋体"/>
                <w:spacing w:val="1"/>
                <w:szCs w:val="21"/>
                <w:highlight w:val="none"/>
              </w:rPr>
              <w:t>未提供或提供不全不得分。</w:t>
            </w:r>
          </w:p>
        </w:tc>
        <w:tc>
          <w:tcPr>
            <w:tcW w:w="883" w:type="dxa"/>
            <w:tcBorders>
              <w:top w:val="single" w:color="000000" w:sz="4" w:space="0"/>
              <w:left w:val="single" w:color="000000" w:sz="4" w:space="0"/>
              <w:bottom w:val="single" w:color="000000" w:sz="4" w:space="0"/>
              <w:right w:val="single" w:color="000000" w:sz="4" w:space="0"/>
            </w:tcBorders>
            <w:vAlign w:val="center"/>
          </w:tcPr>
          <w:p w14:paraId="30947A4A">
            <w:pPr>
              <w:widowControl/>
              <w:jc w:val="center"/>
              <w:rPr>
                <w:rFonts w:hint="eastAsia" w:ascii="宋体" w:hAnsi="宋体" w:eastAsia="宋体"/>
                <w:szCs w:val="21"/>
                <w:lang w:val="en-US" w:eastAsia="zh-CN"/>
              </w:rPr>
            </w:pPr>
            <w:r>
              <w:rPr>
                <w:rFonts w:hint="eastAsia" w:ascii="宋体" w:hAnsi="宋体"/>
                <w:szCs w:val="21"/>
                <w:lang w:val="en-US" w:eastAsia="zh-CN"/>
              </w:rPr>
              <w:t>3</w:t>
            </w:r>
          </w:p>
        </w:tc>
      </w:tr>
      <w:tr w14:paraId="72286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433" w:type="dxa"/>
            <w:vMerge w:val="continue"/>
            <w:tcBorders>
              <w:left w:val="single" w:color="000000" w:sz="4" w:space="0"/>
              <w:right w:val="single" w:color="000000" w:sz="4" w:space="0"/>
            </w:tcBorders>
            <w:vAlign w:val="center"/>
          </w:tcPr>
          <w:p w14:paraId="48BBE968">
            <w:pPr>
              <w:widowControl/>
              <w:jc w:val="center"/>
              <w:rPr>
                <w:rFonts w:hint="eastAsia" w:ascii="宋体" w:hAnsi="宋体"/>
                <w:szCs w:val="21"/>
              </w:rPr>
            </w:pPr>
          </w:p>
        </w:tc>
        <w:tc>
          <w:tcPr>
            <w:tcW w:w="1134" w:type="dxa"/>
            <w:tcBorders>
              <w:top w:val="single" w:color="000000" w:sz="4" w:space="0"/>
              <w:left w:val="single" w:color="000000" w:sz="4" w:space="0"/>
              <w:bottom w:val="single" w:color="auto" w:sz="4" w:space="0"/>
              <w:right w:val="single" w:color="000000" w:sz="4" w:space="0"/>
            </w:tcBorders>
            <w:vAlign w:val="center"/>
          </w:tcPr>
          <w:p w14:paraId="6BF60AF4">
            <w:pPr>
              <w:widowControl/>
              <w:snapToGrid w:val="0"/>
              <w:jc w:val="center"/>
              <w:rPr>
                <w:rFonts w:hint="eastAsia" w:ascii="宋体" w:hAnsi="宋体"/>
                <w:szCs w:val="21"/>
                <w:highlight w:val="none"/>
              </w:rPr>
            </w:pPr>
            <w:r>
              <w:rPr>
                <w:rFonts w:hint="eastAsia" w:ascii="宋体" w:hAnsi="宋体"/>
                <w:szCs w:val="21"/>
                <w:highlight w:val="none"/>
              </w:rPr>
              <w:t>类似项目业绩</w:t>
            </w:r>
          </w:p>
          <w:p w14:paraId="590F1A1E">
            <w:pPr>
              <w:widowControl/>
              <w:snapToGrid w:val="0"/>
              <w:jc w:val="center"/>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4</w:t>
            </w:r>
            <w:r>
              <w:rPr>
                <w:rFonts w:hint="eastAsia" w:ascii="宋体" w:hAnsi="宋体"/>
                <w:szCs w:val="21"/>
                <w:highlight w:val="none"/>
              </w:rPr>
              <w:t>分）</w:t>
            </w:r>
          </w:p>
        </w:tc>
        <w:tc>
          <w:tcPr>
            <w:tcW w:w="5906" w:type="dxa"/>
            <w:tcBorders>
              <w:top w:val="single" w:color="000000" w:sz="4" w:space="0"/>
              <w:left w:val="single" w:color="000000" w:sz="4" w:space="0"/>
              <w:bottom w:val="single" w:color="000000" w:sz="4" w:space="0"/>
              <w:right w:val="single" w:color="000000" w:sz="4" w:space="0"/>
            </w:tcBorders>
            <w:vAlign w:val="center"/>
          </w:tcPr>
          <w:p w14:paraId="3369C4E5">
            <w:pPr>
              <w:rPr>
                <w:rFonts w:hint="eastAsia" w:ascii="宋体" w:hAnsi="宋体" w:eastAsia="宋体" w:cs="宋体"/>
                <w:szCs w:val="21"/>
                <w:highlight w:val="none"/>
              </w:rPr>
            </w:pPr>
            <w:r>
              <w:rPr>
                <w:rFonts w:hint="eastAsia" w:ascii="宋体" w:hAnsi="宋体" w:eastAsia="宋体" w:cs="宋体"/>
                <w:szCs w:val="21"/>
                <w:highlight w:val="none"/>
              </w:rPr>
              <w:t>自2023年1月1日以来（以合同签订日期为准），投标人具有类似养老护理服务业绩，且业主服务满意度评价为优秀（90分及以上）。</w:t>
            </w:r>
          </w:p>
          <w:p w14:paraId="7BB3506B">
            <w:pPr>
              <w:rPr>
                <w:rFonts w:hint="eastAsia" w:ascii="宋体" w:hAnsi="宋体" w:eastAsia="宋体" w:cs="宋体"/>
                <w:szCs w:val="21"/>
                <w:highlight w:val="none"/>
              </w:rPr>
            </w:pPr>
            <w:r>
              <w:rPr>
                <w:rFonts w:hint="eastAsia" w:ascii="宋体" w:hAnsi="宋体" w:eastAsia="宋体" w:cs="宋体"/>
                <w:szCs w:val="21"/>
                <w:highlight w:val="none"/>
              </w:rPr>
              <w:t>注： 每提供1个有效业绩得</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分，最高得</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分。须同时提供合同关键页复印件（需清晰显示合同内容、签署日期，字迹及印章清晰可辨）及业主满意度评价表复印件（须加盖业主单位公章），缺一不可。</w:t>
            </w:r>
          </w:p>
        </w:tc>
        <w:tc>
          <w:tcPr>
            <w:tcW w:w="883" w:type="dxa"/>
            <w:tcBorders>
              <w:top w:val="single" w:color="000000" w:sz="4" w:space="0"/>
              <w:left w:val="single" w:color="000000" w:sz="4" w:space="0"/>
              <w:bottom w:val="single" w:color="000000" w:sz="4" w:space="0"/>
              <w:right w:val="single" w:color="000000" w:sz="4" w:space="0"/>
            </w:tcBorders>
            <w:vAlign w:val="center"/>
          </w:tcPr>
          <w:p w14:paraId="292100CC">
            <w:pPr>
              <w:widowControl/>
              <w:jc w:val="center"/>
              <w:rPr>
                <w:rFonts w:hint="eastAsia" w:ascii="宋体" w:hAnsi="宋体" w:eastAsia="宋体"/>
                <w:szCs w:val="21"/>
                <w:lang w:val="en-US" w:eastAsia="zh-CN"/>
              </w:rPr>
            </w:pPr>
            <w:r>
              <w:rPr>
                <w:rFonts w:hint="eastAsia" w:ascii="宋体" w:hAnsi="宋体"/>
                <w:szCs w:val="21"/>
                <w:lang w:val="en-US" w:eastAsia="zh-CN"/>
              </w:rPr>
              <w:t>4</w:t>
            </w:r>
          </w:p>
        </w:tc>
      </w:tr>
      <w:tr w14:paraId="43E7E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433" w:type="dxa"/>
            <w:vMerge w:val="continue"/>
            <w:tcBorders>
              <w:left w:val="single" w:color="000000" w:sz="4" w:space="0"/>
              <w:right w:val="single" w:color="000000" w:sz="4" w:space="0"/>
            </w:tcBorders>
            <w:vAlign w:val="center"/>
          </w:tcPr>
          <w:p w14:paraId="13661F17">
            <w:pPr>
              <w:widowControl/>
              <w:jc w:val="center"/>
              <w:rPr>
                <w:rFonts w:hint="eastAsia" w:ascii="宋体" w:hAnsi="宋体"/>
                <w:szCs w:val="21"/>
              </w:rPr>
            </w:pPr>
          </w:p>
        </w:tc>
        <w:tc>
          <w:tcPr>
            <w:tcW w:w="1134" w:type="dxa"/>
            <w:tcBorders>
              <w:top w:val="single" w:color="000000" w:sz="4" w:space="0"/>
              <w:left w:val="single" w:color="000000" w:sz="4" w:space="0"/>
              <w:bottom w:val="single" w:color="auto" w:sz="4" w:space="0"/>
              <w:right w:val="single" w:color="000000" w:sz="4" w:space="0"/>
            </w:tcBorders>
            <w:vAlign w:val="center"/>
          </w:tcPr>
          <w:p w14:paraId="4FC37951">
            <w:pPr>
              <w:widowControl/>
              <w:snapToGrid w:val="0"/>
              <w:jc w:val="center"/>
              <w:rPr>
                <w:rFonts w:hint="eastAsia" w:ascii="宋体" w:hAnsi="宋体"/>
                <w:szCs w:val="21"/>
                <w:highlight w:val="none"/>
              </w:rPr>
            </w:pPr>
            <w:r>
              <w:rPr>
                <w:rFonts w:hint="eastAsia" w:ascii="宋体" w:hAnsi="宋体"/>
                <w:szCs w:val="21"/>
                <w:highlight w:val="none"/>
              </w:rPr>
              <w:t>培训能力     （2分）</w:t>
            </w:r>
          </w:p>
        </w:tc>
        <w:tc>
          <w:tcPr>
            <w:tcW w:w="5906" w:type="dxa"/>
            <w:tcBorders>
              <w:top w:val="single" w:color="000000" w:sz="4" w:space="0"/>
              <w:left w:val="single" w:color="000000" w:sz="4" w:space="0"/>
              <w:bottom w:val="single" w:color="000000" w:sz="4" w:space="0"/>
              <w:right w:val="single" w:color="000000" w:sz="4" w:space="0"/>
            </w:tcBorders>
            <w:vAlign w:val="center"/>
          </w:tcPr>
          <w:p w14:paraId="1911E89A">
            <w:pPr>
              <w:jc w:val="left"/>
              <w:rPr>
                <w:rFonts w:hint="eastAsia" w:ascii="宋体" w:hAnsi="宋体" w:eastAsia="宋体" w:cs="宋体"/>
                <w:bCs/>
                <w:szCs w:val="21"/>
                <w:highlight w:val="none"/>
              </w:rPr>
            </w:pPr>
            <w:r>
              <w:rPr>
                <w:rFonts w:hint="eastAsia" w:ascii="宋体" w:hAnsi="宋体" w:eastAsia="宋体" w:cs="宋体"/>
                <w:bCs/>
                <w:szCs w:val="21"/>
                <w:highlight w:val="none"/>
              </w:rPr>
              <w:t>针对本项目服务岗位特点，制订切实可行的员工素质能力提升培训计划，并有明确的措施保障计划实施，得 2 分；</w:t>
            </w:r>
          </w:p>
          <w:p w14:paraId="48089C5E">
            <w:pPr>
              <w:jc w:val="left"/>
              <w:rPr>
                <w:rFonts w:hint="eastAsia" w:ascii="宋体" w:hAnsi="宋体" w:eastAsia="宋体" w:cs="宋体"/>
                <w:szCs w:val="21"/>
                <w:highlight w:val="none"/>
              </w:rPr>
            </w:pPr>
            <w:r>
              <w:rPr>
                <w:rFonts w:hint="eastAsia" w:ascii="宋体" w:hAnsi="宋体" w:eastAsia="宋体" w:cs="宋体"/>
                <w:bCs/>
                <w:szCs w:val="21"/>
                <w:highlight w:val="none"/>
              </w:rPr>
              <w:t>须提供相关证明材料（如培训计划文件、培训师资等）并加盖公章，未提供或提供不全不得分。</w:t>
            </w:r>
            <w:r>
              <w:rPr>
                <w:rFonts w:hint="eastAsia" w:ascii="宋体" w:hAnsi="宋体" w:eastAsia="宋体" w:cs="宋体"/>
                <w:szCs w:val="21"/>
                <w:highlight w:val="none"/>
              </w:rPr>
              <w:t xml:space="preserve">                           </w:t>
            </w:r>
          </w:p>
        </w:tc>
        <w:tc>
          <w:tcPr>
            <w:tcW w:w="883" w:type="dxa"/>
            <w:tcBorders>
              <w:top w:val="single" w:color="000000" w:sz="4" w:space="0"/>
              <w:left w:val="single" w:color="000000" w:sz="4" w:space="0"/>
              <w:bottom w:val="single" w:color="000000" w:sz="4" w:space="0"/>
              <w:right w:val="single" w:color="000000" w:sz="4" w:space="0"/>
            </w:tcBorders>
            <w:vAlign w:val="center"/>
          </w:tcPr>
          <w:p w14:paraId="0D63ACC6">
            <w:pPr>
              <w:widowControl/>
              <w:jc w:val="center"/>
              <w:rPr>
                <w:rFonts w:hint="eastAsia" w:ascii="宋体" w:hAnsi="宋体"/>
                <w:szCs w:val="21"/>
              </w:rPr>
            </w:pPr>
            <w:r>
              <w:rPr>
                <w:rFonts w:hint="eastAsia" w:ascii="宋体" w:hAnsi="宋体"/>
                <w:szCs w:val="21"/>
              </w:rPr>
              <w:t>2</w:t>
            </w:r>
          </w:p>
        </w:tc>
      </w:tr>
      <w:tr w14:paraId="4AA94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0" w:hRule="atLeast"/>
          <w:jc w:val="center"/>
        </w:trPr>
        <w:tc>
          <w:tcPr>
            <w:tcW w:w="1433" w:type="dxa"/>
            <w:vMerge w:val="continue"/>
            <w:tcBorders>
              <w:left w:val="single" w:color="000000" w:sz="4" w:space="0"/>
              <w:right w:val="single" w:color="000000" w:sz="4" w:space="0"/>
            </w:tcBorders>
            <w:vAlign w:val="center"/>
          </w:tcPr>
          <w:p w14:paraId="33937707">
            <w:pPr>
              <w:widowControl/>
              <w:jc w:val="center"/>
              <w:rPr>
                <w:rFonts w:hint="eastAsia" w:ascii="宋体" w:hAnsi="宋体"/>
                <w:szCs w:val="21"/>
              </w:rPr>
            </w:pPr>
          </w:p>
        </w:tc>
        <w:tc>
          <w:tcPr>
            <w:tcW w:w="1134" w:type="dxa"/>
            <w:tcBorders>
              <w:top w:val="single" w:color="000000" w:sz="4" w:space="0"/>
              <w:left w:val="single" w:color="000000" w:sz="4" w:space="0"/>
              <w:bottom w:val="single" w:color="auto" w:sz="4" w:space="0"/>
              <w:right w:val="single" w:color="000000" w:sz="4" w:space="0"/>
            </w:tcBorders>
            <w:vAlign w:val="center"/>
          </w:tcPr>
          <w:p w14:paraId="3B4A1CF6">
            <w:pPr>
              <w:widowControl/>
              <w:snapToGrid w:val="0"/>
              <w:jc w:val="center"/>
              <w:rPr>
                <w:rFonts w:hint="eastAsia" w:ascii="宋体" w:hAnsi="宋体"/>
                <w:szCs w:val="21"/>
                <w:highlight w:val="none"/>
              </w:rPr>
            </w:pPr>
            <w:r>
              <w:rPr>
                <w:rFonts w:hint="eastAsia" w:ascii="宋体" w:hAnsi="宋体"/>
                <w:szCs w:val="21"/>
                <w:highlight w:val="none"/>
              </w:rPr>
              <w:t>招聘与人才储备能力（4分）</w:t>
            </w:r>
          </w:p>
        </w:tc>
        <w:tc>
          <w:tcPr>
            <w:tcW w:w="5906" w:type="dxa"/>
            <w:tcBorders>
              <w:top w:val="single" w:color="000000" w:sz="4" w:space="0"/>
              <w:left w:val="single" w:color="000000" w:sz="4" w:space="0"/>
              <w:bottom w:val="single" w:color="000000" w:sz="4" w:space="0"/>
              <w:right w:val="single" w:color="000000" w:sz="4" w:space="0"/>
            </w:tcBorders>
            <w:vAlign w:val="center"/>
          </w:tcPr>
          <w:p w14:paraId="2545E5E8">
            <w:pPr>
              <w:numPr>
                <w:ilvl w:val="255"/>
                <w:numId w:val="0"/>
              </w:numPr>
              <w:rPr>
                <w:rFonts w:hint="eastAsia" w:ascii="宋体" w:hAnsi="宋体" w:eastAsia="宋体" w:cs="宋体"/>
                <w:szCs w:val="21"/>
                <w:highlight w:val="none"/>
              </w:rPr>
            </w:pPr>
            <w:r>
              <w:rPr>
                <w:rFonts w:hint="eastAsia" w:ascii="宋体" w:hAnsi="宋体" w:eastAsia="宋体" w:cs="宋体"/>
                <w:szCs w:val="21"/>
                <w:highlight w:val="none"/>
              </w:rPr>
              <w:t>1.招聘渠道建设（2分）：</w:t>
            </w:r>
          </w:p>
          <w:p w14:paraId="41E3F68D">
            <w:pPr>
              <w:numPr>
                <w:ilvl w:val="255"/>
                <w:numId w:val="0"/>
              </w:numPr>
              <w:rPr>
                <w:rFonts w:hint="eastAsia" w:ascii="宋体" w:hAnsi="宋体" w:eastAsia="宋体" w:cs="宋体"/>
                <w:szCs w:val="21"/>
                <w:highlight w:val="none"/>
              </w:rPr>
            </w:pPr>
            <w:r>
              <w:rPr>
                <w:rFonts w:hint="eastAsia" w:ascii="宋体" w:hAnsi="宋体" w:eastAsia="宋体" w:cs="宋体"/>
                <w:szCs w:val="21"/>
                <w:highlight w:val="none"/>
              </w:rPr>
              <w:t>投标人拥有与专业招聘渠道（如养老专业院校、人力资源服务机构、劳动力输出基地等）建立合作关系，每提供1个有效渠道的合作证明或协议，得1 分，最高得 2 分。</w:t>
            </w:r>
          </w:p>
          <w:p w14:paraId="61765AEF">
            <w:pPr>
              <w:numPr>
                <w:ilvl w:val="255"/>
                <w:numId w:val="0"/>
              </w:numPr>
              <w:rPr>
                <w:rFonts w:hint="eastAsia" w:ascii="宋体" w:hAnsi="宋体" w:eastAsia="宋体" w:cs="宋体"/>
                <w:szCs w:val="21"/>
                <w:highlight w:val="none"/>
              </w:rPr>
            </w:pPr>
            <w:r>
              <w:rPr>
                <w:rFonts w:hint="eastAsia" w:ascii="宋体" w:hAnsi="宋体" w:eastAsia="宋体" w:cs="宋体"/>
                <w:szCs w:val="21"/>
                <w:highlight w:val="none"/>
              </w:rPr>
              <w:t>2.人才储备承诺（2分）：</w:t>
            </w:r>
          </w:p>
          <w:p w14:paraId="148B6941">
            <w:pPr>
              <w:numPr>
                <w:ilvl w:val="255"/>
                <w:numId w:val="0"/>
              </w:numPr>
              <w:rPr>
                <w:rFonts w:hint="eastAsia" w:ascii="宋体" w:hAnsi="宋体" w:eastAsia="宋体" w:cs="宋体"/>
                <w:szCs w:val="21"/>
                <w:highlight w:val="none"/>
              </w:rPr>
            </w:pPr>
            <w:r>
              <w:rPr>
                <w:rFonts w:hint="eastAsia" w:ascii="宋体" w:hAnsi="宋体" w:eastAsia="宋体" w:cs="宋体"/>
                <w:szCs w:val="21"/>
                <w:highlight w:val="none"/>
              </w:rPr>
              <w:t>投标人承诺建立不低于本项目总人数20%的人才储备池，并保证在护理员离职后 5个工作日内补充到位，且补充人员的资质不低于合同要求，得 2 分。</w:t>
            </w:r>
          </w:p>
          <w:p w14:paraId="2C30B17B">
            <w:pPr>
              <w:numPr>
                <w:ilvl w:val="255"/>
                <w:numId w:val="0"/>
              </w:numPr>
              <w:rPr>
                <w:rFonts w:hint="eastAsia" w:ascii="仿宋_GB2312" w:hAnsi="仿宋_GB2312" w:eastAsia="仿宋_GB2312" w:cs="仿宋_GB2312"/>
                <w:szCs w:val="21"/>
                <w:highlight w:val="none"/>
              </w:rPr>
            </w:pPr>
            <w:r>
              <w:rPr>
                <w:rFonts w:hint="eastAsia" w:ascii="宋体" w:hAnsi="宋体" w:eastAsia="宋体" w:cs="宋体"/>
                <w:szCs w:val="21"/>
                <w:highlight w:val="none"/>
              </w:rPr>
              <w:t>（须提供加盖公章的承诺函，未提供不得分）。</w:t>
            </w:r>
          </w:p>
        </w:tc>
        <w:tc>
          <w:tcPr>
            <w:tcW w:w="883" w:type="dxa"/>
            <w:tcBorders>
              <w:top w:val="single" w:color="000000" w:sz="4" w:space="0"/>
              <w:left w:val="single" w:color="000000" w:sz="4" w:space="0"/>
              <w:bottom w:val="single" w:color="000000" w:sz="4" w:space="0"/>
              <w:right w:val="single" w:color="000000" w:sz="4" w:space="0"/>
            </w:tcBorders>
            <w:vAlign w:val="center"/>
          </w:tcPr>
          <w:p w14:paraId="63157EAB">
            <w:pPr>
              <w:widowControl/>
              <w:jc w:val="center"/>
              <w:rPr>
                <w:rFonts w:hint="eastAsia" w:ascii="宋体" w:hAnsi="宋体"/>
                <w:szCs w:val="21"/>
              </w:rPr>
            </w:pPr>
            <w:r>
              <w:rPr>
                <w:rFonts w:hint="eastAsia" w:ascii="宋体" w:hAnsi="宋体"/>
                <w:szCs w:val="21"/>
              </w:rPr>
              <w:t>4</w:t>
            </w:r>
          </w:p>
        </w:tc>
      </w:tr>
      <w:tr w14:paraId="0ED34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433" w:type="dxa"/>
            <w:vMerge w:val="continue"/>
            <w:tcBorders>
              <w:left w:val="single" w:color="000000" w:sz="4" w:space="0"/>
              <w:right w:val="single" w:color="000000" w:sz="4" w:space="0"/>
            </w:tcBorders>
            <w:vAlign w:val="center"/>
          </w:tcPr>
          <w:p w14:paraId="5C40B86E">
            <w:pPr>
              <w:widowControl/>
              <w:jc w:val="center"/>
              <w:rPr>
                <w:rFonts w:hint="eastAsia" w:ascii="宋体" w:hAnsi="宋体"/>
                <w:szCs w:val="21"/>
              </w:rPr>
            </w:pPr>
          </w:p>
        </w:tc>
        <w:tc>
          <w:tcPr>
            <w:tcW w:w="1134" w:type="dxa"/>
            <w:tcBorders>
              <w:top w:val="single" w:color="000000" w:sz="4" w:space="0"/>
              <w:left w:val="single" w:color="000000" w:sz="4" w:space="0"/>
              <w:bottom w:val="single" w:color="auto" w:sz="4" w:space="0"/>
              <w:right w:val="single" w:color="000000" w:sz="4" w:space="0"/>
            </w:tcBorders>
            <w:vAlign w:val="center"/>
          </w:tcPr>
          <w:p w14:paraId="523BB38D">
            <w:pPr>
              <w:widowControl/>
              <w:snapToGrid w:val="0"/>
              <w:jc w:val="center"/>
              <w:rPr>
                <w:rFonts w:hint="eastAsia" w:ascii="宋体" w:hAnsi="宋体"/>
                <w:szCs w:val="21"/>
              </w:rPr>
            </w:pPr>
            <w:r>
              <w:rPr>
                <w:rFonts w:hint="eastAsia" w:ascii="宋体" w:hAnsi="宋体"/>
                <w:szCs w:val="21"/>
              </w:rPr>
              <w:t>服务承诺与保障（</w:t>
            </w:r>
            <w:r>
              <w:rPr>
                <w:rFonts w:hint="eastAsia" w:ascii="宋体" w:hAnsi="宋体"/>
                <w:szCs w:val="21"/>
                <w:lang w:val="en-US" w:eastAsia="zh-CN"/>
              </w:rPr>
              <w:t>3</w:t>
            </w:r>
            <w:r>
              <w:rPr>
                <w:rFonts w:hint="eastAsia" w:ascii="宋体" w:hAnsi="宋体"/>
                <w:szCs w:val="21"/>
              </w:rPr>
              <w:t>分）</w:t>
            </w:r>
          </w:p>
        </w:tc>
        <w:tc>
          <w:tcPr>
            <w:tcW w:w="5906" w:type="dxa"/>
            <w:tcBorders>
              <w:top w:val="single" w:color="000000" w:sz="4" w:space="0"/>
              <w:left w:val="single" w:color="000000" w:sz="4" w:space="0"/>
              <w:bottom w:val="single" w:color="000000" w:sz="4" w:space="0"/>
              <w:right w:val="single" w:color="000000" w:sz="4" w:space="0"/>
            </w:tcBorders>
            <w:vAlign w:val="center"/>
          </w:tcPr>
          <w:p w14:paraId="57641398">
            <w:pPr>
              <w:widowControl/>
              <w:numPr>
                <w:ilvl w:val="255"/>
                <w:numId w:val="0"/>
              </w:numPr>
              <w:snapToGrid w:val="0"/>
              <w:jc w:val="left"/>
              <w:rPr>
                <w:rFonts w:hint="eastAsia" w:ascii="宋体" w:hAnsi="宋体" w:eastAsia="宋体" w:cs="宋体"/>
                <w:highlight w:val="none"/>
              </w:rPr>
            </w:pPr>
            <w:r>
              <w:rPr>
                <w:rFonts w:hint="eastAsia" w:ascii="宋体" w:hAnsi="宋体" w:eastAsia="宋体" w:cs="宋体"/>
                <w:highlight w:val="none"/>
              </w:rPr>
              <w:t>1.责任保险（1分）：投标人持有在有效期内的公众责任险或团体人身意外伤害险或雇主责任险，得 1 分。（须提供相关保单或保险协议关键页复印件并加盖公章）。</w:t>
            </w:r>
          </w:p>
          <w:p w14:paraId="6F2CC5D9">
            <w:pPr>
              <w:widowControl/>
              <w:numPr>
                <w:ilvl w:val="255"/>
                <w:numId w:val="0"/>
              </w:numPr>
              <w:snapToGrid w:val="0"/>
              <w:jc w:val="left"/>
              <w:rPr>
                <w:rFonts w:hint="eastAsia" w:ascii="宋体" w:hAnsi="宋体"/>
                <w:szCs w:val="21"/>
                <w:highlight w:val="none"/>
              </w:rPr>
            </w:pPr>
            <w:r>
              <w:rPr>
                <w:rFonts w:hint="eastAsia" w:ascii="宋体" w:hAnsi="宋体" w:eastAsia="宋体" w:cs="宋体"/>
                <w:highlight w:val="none"/>
              </w:rPr>
              <w:t>2.风险与质量承诺（</w:t>
            </w:r>
            <w:r>
              <w:rPr>
                <w:rFonts w:hint="eastAsia" w:ascii="宋体" w:hAnsi="宋体" w:cs="宋体"/>
                <w:highlight w:val="none"/>
                <w:lang w:val="en-US" w:eastAsia="zh-CN"/>
              </w:rPr>
              <w:t>2</w:t>
            </w:r>
            <w:r>
              <w:rPr>
                <w:rFonts w:hint="eastAsia" w:ascii="宋体" w:hAnsi="宋体" w:eastAsia="宋体" w:cs="宋体"/>
                <w:highlight w:val="none"/>
              </w:rPr>
              <w:t>分）： 提供内容具体、可执行的风险责任承诺书和服务质量承诺书，符合招标文件要求的每份得</w:t>
            </w:r>
            <w:r>
              <w:rPr>
                <w:rFonts w:hint="eastAsia" w:ascii="宋体" w:hAnsi="宋体" w:cs="宋体"/>
                <w:highlight w:val="none"/>
                <w:lang w:val="en-US" w:eastAsia="zh-CN"/>
              </w:rPr>
              <w:t>1</w:t>
            </w:r>
            <w:r>
              <w:rPr>
                <w:rFonts w:hint="eastAsia" w:ascii="宋体" w:hAnsi="宋体" w:eastAsia="宋体" w:cs="宋体"/>
                <w:highlight w:val="none"/>
              </w:rPr>
              <w:t>分，最高得</w:t>
            </w:r>
            <w:r>
              <w:rPr>
                <w:rFonts w:hint="eastAsia" w:ascii="宋体" w:hAnsi="宋体" w:cs="宋体"/>
                <w:highlight w:val="none"/>
                <w:lang w:val="en-US" w:eastAsia="zh-CN"/>
              </w:rPr>
              <w:t>2</w:t>
            </w:r>
            <w:r>
              <w:rPr>
                <w:rFonts w:hint="eastAsia" w:ascii="宋体" w:hAnsi="宋体" w:eastAsia="宋体" w:cs="宋体"/>
                <w:highlight w:val="none"/>
              </w:rPr>
              <w:t>分。（须提供加盖公章的承诺函）。</w:t>
            </w:r>
          </w:p>
        </w:tc>
        <w:tc>
          <w:tcPr>
            <w:tcW w:w="883" w:type="dxa"/>
            <w:tcBorders>
              <w:top w:val="single" w:color="000000" w:sz="4" w:space="0"/>
              <w:left w:val="single" w:color="000000" w:sz="4" w:space="0"/>
              <w:bottom w:val="single" w:color="000000" w:sz="4" w:space="0"/>
              <w:right w:val="single" w:color="000000" w:sz="4" w:space="0"/>
            </w:tcBorders>
            <w:vAlign w:val="center"/>
          </w:tcPr>
          <w:p w14:paraId="23AF155D">
            <w:pPr>
              <w:widowControl/>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3</w:t>
            </w:r>
          </w:p>
        </w:tc>
      </w:tr>
      <w:tr w14:paraId="77D40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433" w:type="dxa"/>
            <w:vMerge w:val="continue"/>
            <w:tcBorders>
              <w:left w:val="single" w:color="000000" w:sz="4" w:space="0"/>
              <w:bottom w:val="single" w:color="auto" w:sz="4" w:space="0"/>
              <w:right w:val="single" w:color="000000" w:sz="4" w:space="0"/>
            </w:tcBorders>
            <w:vAlign w:val="center"/>
          </w:tcPr>
          <w:p w14:paraId="5AD485AA">
            <w:pPr>
              <w:widowControl/>
              <w:jc w:val="center"/>
              <w:rPr>
                <w:rFonts w:hint="eastAsia" w:ascii="宋体" w:hAnsi="宋体"/>
                <w:szCs w:val="21"/>
              </w:rPr>
            </w:pPr>
          </w:p>
        </w:tc>
        <w:tc>
          <w:tcPr>
            <w:tcW w:w="1134" w:type="dxa"/>
            <w:tcBorders>
              <w:top w:val="single" w:color="000000" w:sz="4" w:space="0"/>
              <w:left w:val="single" w:color="000000" w:sz="4" w:space="0"/>
              <w:bottom w:val="single" w:color="auto" w:sz="4" w:space="0"/>
              <w:right w:val="single" w:color="000000" w:sz="4" w:space="0"/>
            </w:tcBorders>
            <w:vAlign w:val="center"/>
          </w:tcPr>
          <w:p w14:paraId="2618B3BC">
            <w:pPr>
              <w:widowControl/>
              <w:snapToGrid w:val="0"/>
              <w:jc w:val="center"/>
              <w:rPr>
                <w:rFonts w:hint="eastAsia" w:ascii="宋体" w:hAnsi="宋体"/>
                <w:szCs w:val="21"/>
              </w:rPr>
            </w:pPr>
            <w:r>
              <w:rPr>
                <w:rFonts w:hint="eastAsia" w:ascii="宋体" w:hAnsi="宋体"/>
                <w:szCs w:val="21"/>
              </w:rPr>
              <w:t>项目流失率管控（2分）</w:t>
            </w:r>
          </w:p>
        </w:tc>
        <w:tc>
          <w:tcPr>
            <w:tcW w:w="5906" w:type="dxa"/>
            <w:tcBorders>
              <w:top w:val="single" w:color="000000" w:sz="4" w:space="0"/>
              <w:left w:val="single" w:color="000000" w:sz="4" w:space="0"/>
              <w:bottom w:val="single" w:color="000000" w:sz="4" w:space="0"/>
              <w:right w:val="single" w:color="000000" w:sz="4" w:space="0"/>
            </w:tcBorders>
            <w:vAlign w:val="center"/>
          </w:tcPr>
          <w:p w14:paraId="1CB3F922">
            <w:pPr>
              <w:widowControl/>
              <w:numPr>
                <w:ilvl w:val="255"/>
                <w:numId w:val="0"/>
              </w:numPr>
              <w:snapToGrid w:val="0"/>
              <w:jc w:val="left"/>
              <w:rPr>
                <w:rFonts w:ascii="宋体" w:hAnsi="宋体"/>
                <w:sz w:val="21"/>
                <w:szCs w:val="21"/>
              </w:rPr>
            </w:pPr>
            <w:r>
              <w:rPr>
                <w:rFonts w:hint="eastAsia" w:ascii="宋体" w:hAnsi="宋体"/>
                <w:sz w:val="21"/>
                <w:szCs w:val="21"/>
              </w:rPr>
              <w:t>投标人需提供其目前在管的至少3个同类型（养老机构/医院陪护）项目，在过去一年（12个月）的月度/季度护理员流失率统计数据。提供的数据经评委核实（或提供甲方盖章的证明文件）：</w:t>
            </w:r>
          </w:p>
          <w:p w14:paraId="3F694BEB">
            <w:pPr>
              <w:widowControl/>
              <w:numPr>
                <w:ilvl w:val="255"/>
                <w:numId w:val="0"/>
              </w:numPr>
              <w:snapToGrid w:val="0"/>
              <w:jc w:val="left"/>
              <w:rPr>
                <w:rFonts w:ascii="宋体" w:hAnsi="宋体"/>
                <w:sz w:val="21"/>
                <w:szCs w:val="21"/>
              </w:rPr>
            </w:pPr>
            <w:r>
              <w:rPr>
                <w:rFonts w:hint="eastAsia" w:ascii="宋体" w:hAnsi="宋体"/>
                <w:sz w:val="21"/>
                <w:szCs w:val="21"/>
              </w:rPr>
              <w:t>显示其平均年流失率≤15%，得2分；</w:t>
            </w:r>
          </w:p>
          <w:p w14:paraId="4592438C">
            <w:pPr>
              <w:widowControl/>
              <w:numPr>
                <w:ilvl w:val="255"/>
                <w:numId w:val="0"/>
              </w:numPr>
              <w:snapToGrid w:val="0"/>
              <w:jc w:val="left"/>
              <w:rPr>
                <w:rFonts w:ascii="宋体" w:hAnsi="宋体"/>
                <w:sz w:val="21"/>
                <w:szCs w:val="21"/>
              </w:rPr>
            </w:pPr>
            <w:r>
              <w:rPr>
                <w:rFonts w:hint="eastAsia" w:ascii="宋体" w:hAnsi="宋体"/>
                <w:sz w:val="21"/>
                <w:szCs w:val="21"/>
              </w:rPr>
              <w:t>显示其平均年流失率在16%-25%之间，得1分；</w:t>
            </w:r>
          </w:p>
          <w:p w14:paraId="17362F26">
            <w:pPr>
              <w:widowControl/>
              <w:numPr>
                <w:ilvl w:val="255"/>
                <w:numId w:val="0"/>
              </w:numPr>
              <w:snapToGrid w:val="0"/>
              <w:jc w:val="left"/>
              <w:rPr>
                <w:rFonts w:hint="eastAsia" w:ascii="宋体" w:hAnsi="宋体"/>
                <w:sz w:val="21"/>
                <w:szCs w:val="21"/>
              </w:rPr>
            </w:pPr>
            <w:r>
              <w:rPr>
                <w:rFonts w:hint="eastAsia" w:ascii="宋体" w:hAnsi="宋体"/>
                <w:sz w:val="21"/>
                <w:szCs w:val="21"/>
              </w:rPr>
              <w:t>流失率&gt;25%，或无法提供有效数据、数据造假者，得0分。</w:t>
            </w:r>
          </w:p>
        </w:tc>
        <w:tc>
          <w:tcPr>
            <w:tcW w:w="883" w:type="dxa"/>
            <w:tcBorders>
              <w:top w:val="single" w:color="000000" w:sz="4" w:space="0"/>
              <w:left w:val="single" w:color="000000" w:sz="4" w:space="0"/>
              <w:bottom w:val="single" w:color="000000" w:sz="4" w:space="0"/>
              <w:right w:val="single" w:color="000000" w:sz="4" w:space="0"/>
            </w:tcBorders>
            <w:vAlign w:val="center"/>
          </w:tcPr>
          <w:p w14:paraId="14BB7DC1">
            <w:pPr>
              <w:widowControl/>
              <w:jc w:val="center"/>
              <w:rPr>
                <w:rFonts w:hint="eastAsia" w:ascii="宋体" w:hAnsi="宋体"/>
                <w:szCs w:val="21"/>
              </w:rPr>
            </w:pPr>
            <w:r>
              <w:rPr>
                <w:rFonts w:hint="eastAsia" w:ascii="宋体" w:hAnsi="宋体"/>
                <w:szCs w:val="21"/>
              </w:rPr>
              <w:t>2</w:t>
            </w:r>
          </w:p>
        </w:tc>
      </w:tr>
      <w:tr w14:paraId="3B514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8" w:hRule="atLeast"/>
          <w:jc w:val="center"/>
        </w:trPr>
        <w:tc>
          <w:tcPr>
            <w:tcW w:w="1433" w:type="dxa"/>
            <w:vMerge w:val="restart"/>
            <w:tcBorders>
              <w:top w:val="single" w:color="auto" w:sz="4" w:space="0"/>
              <w:left w:val="single" w:color="000000" w:sz="4" w:space="0"/>
              <w:right w:val="single" w:color="000000" w:sz="4" w:space="0"/>
            </w:tcBorders>
            <w:vAlign w:val="center"/>
          </w:tcPr>
          <w:p w14:paraId="08294171">
            <w:pPr>
              <w:widowControl/>
              <w:jc w:val="center"/>
              <w:rPr>
                <w:rFonts w:hint="eastAsia" w:ascii="宋体" w:hAnsi="宋体"/>
                <w:szCs w:val="21"/>
                <w:highlight w:val="none"/>
              </w:rPr>
            </w:pPr>
            <w:r>
              <w:rPr>
                <w:rFonts w:hint="eastAsia" w:ascii="宋体" w:hAnsi="宋体"/>
                <w:szCs w:val="21"/>
                <w:highlight w:val="none"/>
              </w:rPr>
              <w:t>技术部分</w:t>
            </w:r>
          </w:p>
          <w:p w14:paraId="31C036C3">
            <w:pPr>
              <w:jc w:val="center"/>
              <w:rPr>
                <w:rFonts w:hint="eastAsia" w:ascii="宋体" w:hAnsi="宋体"/>
                <w:szCs w:val="21"/>
                <w:highlight w:val="none"/>
              </w:rPr>
            </w:pPr>
            <w:r>
              <w:rPr>
                <w:rFonts w:hint="eastAsia" w:ascii="宋体" w:hAnsi="宋体"/>
                <w:szCs w:val="21"/>
                <w:highlight w:val="none"/>
              </w:rPr>
              <w:t>（72分）</w:t>
            </w:r>
          </w:p>
        </w:tc>
        <w:tc>
          <w:tcPr>
            <w:tcW w:w="1134" w:type="dxa"/>
            <w:tcBorders>
              <w:top w:val="single" w:color="auto" w:sz="4" w:space="0"/>
              <w:left w:val="single" w:color="000000" w:sz="4" w:space="0"/>
              <w:right w:val="single" w:color="000000" w:sz="4" w:space="0"/>
            </w:tcBorders>
            <w:vAlign w:val="center"/>
          </w:tcPr>
          <w:p w14:paraId="3601AA59">
            <w:pPr>
              <w:jc w:val="center"/>
              <w:rPr>
                <w:rFonts w:hint="eastAsia" w:ascii="宋体" w:hAnsi="宋体"/>
                <w:szCs w:val="21"/>
                <w:highlight w:val="none"/>
              </w:rPr>
            </w:pPr>
            <w:r>
              <w:rPr>
                <w:rFonts w:hint="eastAsia" w:ascii="宋体" w:hAnsi="宋体"/>
                <w:szCs w:val="21"/>
                <w:highlight w:val="none"/>
              </w:rPr>
              <w:t>项目整体服务方案</w:t>
            </w:r>
          </w:p>
          <w:p w14:paraId="78F0EFCF">
            <w:pPr>
              <w:widowControl/>
              <w:jc w:val="center"/>
              <w:rPr>
                <w:rFonts w:hint="eastAsia" w:ascii="宋体" w:hAnsi="宋体"/>
                <w:b/>
                <w:bCs/>
                <w:szCs w:val="21"/>
                <w:highlight w:val="none"/>
              </w:rPr>
            </w:pPr>
            <w:r>
              <w:rPr>
                <w:rFonts w:hint="eastAsia" w:ascii="宋体"/>
                <w:szCs w:val="21"/>
                <w:highlight w:val="none"/>
              </w:rPr>
              <w:t>（9分）</w:t>
            </w:r>
          </w:p>
        </w:tc>
        <w:tc>
          <w:tcPr>
            <w:tcW w:w="5906" w:type="dxa"/>
            <w:tcBorders>
              <w:top w:val="single" w:color="000000" w:sz="4" w:space="0"/>
              <w:left w:val="single" w:color="000000" w:sz="4" w:space="0"/>
              <w:bottom w:val="single" w:color="auto" w:sz="4" w:space="0"/>
              <w:right w:val="single" w:color="000000" w:sz="4" w:space="0"/>
            </w:tcBorders>
            <w:vAlign w:val="center"/>
          </w:tcPr>
          <w:p w14:paraId="4E2CC7B1">
            <w:pPr>
              <w:pStyle w:val="53"/>
              <w:widowControl/>
              <w:ind w:firstLine="0" w:firstLineChars="0"/>
              <w:rPr>
                <w:rFonts w:ascii="宋体"/>
                <w:sz w:val="21"/>
                <w:szCs w:val="21"/>
                <w:highlight w:val="none"/>
              </w:rPr>
            </w:pPr>
            <w:r>
              <w:rPr>
                <w:rFonts w:hint="eastAsia" w:ascii="宋体" w:hAnsi="宋体"/>
                <w:sz w:val="21"/>
                <w:szCs w:val="21"/>
                <w:highlight w:val="none"/>
              </w:rPr>
              <w:t>针对投标人对本项目的理解，提供的服务目标和定位、服务标准及保障措施等方案进行评审，方案科学、合理、可行的得6-9分；一般得3-2.9分；较差或未充分描述0-2.9分。</w:t>
            </w:r>
          </w:p>
        </w:tc>
        <w:tc>
          <w:tcPr>
            <w:tcW w:w="883" w:type="dxa"/>
            <w:tcBorders>
              <w:top w:val="single" w:color="000000" w:sz="4" w:space="0"/>
              <w:left w:val="single" w:color="000000" w:sz="4" w:space="0"/>
              <w:bottom w:val="single" w:color="auto" w:sz="4" w:space="0"/>
              <w:right w:val="single" w:color="000000" w:sz="4" w:space="0"/>
            </w:tcBorders>
            <w:vAlign w:val="center"/>
          </w:tcPr>
          <w:p w14:paraId="26F5B5EE">
            <w:pPr>
              <w:widowControl/>
              <w:jc w:val="center"/>
              <w:rPr>
                <w:rFonts w:hint="eastAsia" w:ascii="宋体" w:hAnsi="宋体"/>
                <w:szCs w:val="21"/>
                <w:highlight w:val="none"/>
              </w:rPr>
            </w:pPr>
            <w:r>
              <w:rPr>
                <w:rFonts w:hint="eastAsia" w:ascii="宋体" w:hAnsi="宋体"/>
                <w:szCs w:val="21"/>
                <w:highlight w:val="none"/>
              </w:rPr>
              <w:t>9</w:t>
            </w:r>
          </w:p>
        </w:tc>
      </w:tr>
      <w:tr w14:paraId="6AB89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3" w:hRule="atLeast"/>
          <w:jc w:val="center"/>
        </w:trPr>
        <w:tc>
          <w:tcPr>
            <w:tcW w:w="1433" w:type="dxa"/>
            <w:vMerge w:val="continue"/>
            <w:tcBorders>
              <w:left w:val="single" w:color="000000" w:sz="4" w:space="0"/>
              <w:right w:val="single" w:color="000000" w:sz="4" w:space="0"/>
            </w:tcBorders>
            <w:vAlign w:val="center"/>
          </w:tcPr>
          <w:p w14:paraId="37891065">
            <w:pPr>
              <w:widowControl/>
              <w:jc w:val="center"/>
              <w:rPr>
                <w:rFonts w:hint="eastAsia" w:ascii="宋体" w:hAnsi="宋体"/>
                <w:szCs w:val="21"/>
                <w:highlight w:val="none"/>
              </w:rPr>
            </w:pPr>
          </w:p>
        </w:tc>
        <w:tc>
          <w:tcPr>
            <w:tcW w:w="1134" w:type="dxa"/>
            <w:tcBorders>
              <w:left w:val="single" w:color="000000" w:sz="4" w:space="0"/>
              <w:right w:val="single" w:color="000000" w:sz="4" w:space="0"/>
            </w:tcBorders>
            <w:vAlign w:val="center"/>
          </w:tcPr>
          <w:p w14:paraId="2046D081">
            <w:pPr>
              <w:jc w:val="center"/>
              <w:rPr>
                <w:rFonts w:hint="eastAsia" w:ascii="宋体" w:hAnsi="宋体"/>
                <w:szCs w:val="21"/>
                <w:highlight w:val="none"/>
              </w:rPr>
            </w:pPr>
            <w:r>
              <w:rPr>
                <w:rFonts w:hint="eastAsia" w:ascii="宋体" w:hAnsi="宋体"/>
                <w:szCs w:val="21"/>
                <w:highlight w:val="none"/>
              </w:rPr>
              <w:t>项目管理与制度方案</w:t>
            </w:r>
          </w:p>
          <w:p w14:paraId="57B9A839">
            <w:pPr>
              <w:jc w:val="center"/>
              <w:rPr>
                <w:rFonts w:hint="eastAsia" w:ascii="宋体" w:hAnsi="宋体"/>
                <w:szCs w:val="21"/>
                <w:highlight w:val="none"/>
              </w:rPr>
            </w:pPr>
            <w:r>
              <w:rPr>
                <w:rFonts w:hint="eastAsia" w:ascii="宋体"/>
                <w:szCs w:val="21"/>
                <w:highlight w:val="none"/>
              </w:rPr>
              <w:t>（9分）</w:t>
            </w:r>
          </w:p>
        </w:tc>
        <w:tc>
          <w:tcPr>
            <w:tcW w:w="5906" w:type="dxa"/>
            <w:tcBorders>
              <w:top w:val="single" w:color="auto" w:sz="4" w:space="0"/>
              <w:left w:val="single" w:color="000000" w:sz="4" w:space="0"/>
              <w:bottom w:val="single" w:color="auto" w:sz="4" w:space="0"/>
              <w:right w:val="single" w:color="000000" w:sz="4" w:space="0"/>
            </w:tcBorders>
            <w:vAlign w:val="center"/>
          </w:tcPr>
          <w:p w14:paraId="087777DD">
            <w:pPr>
              <w:pStyle w:val="53"/>
              <w:widowControl/>
              <w:ind w:firstLine="0" w:firstLineChars="0"/>
              <w:rPr>
                <w:rFonts w:hint="eastAsia" w:ascii="宋体" w:hAnsi="宋体"/>
                <w:szCs w:val="21"/>
                <w:highlight w:val="none"/>
              </w:rPr>
            </w:pPr>
            <w:r>
              <w:rPr>
                <w:rFonts w:hint="eastAsia" w:ascii="宋体" w:hAnsi="宋体"/>
                <w:szCs w:val="21"/>
                <w:highlight w:val="none"/>
              </w:rPr>
              <w:t>针对投标人对本项目的管理思路，制定的各项管理制度（含护理质量检查标准、能耗节约、消防安全等制度）等方案进行评审，方案科学、合理、可行的得6-9分；一般得3-5.9分；较差或未充分描述0-2.9分。</w:t>
            </w:r>
          </w:p>
        </w:tc>
        <w:tc>
          <w:tcPr>
            <w:tcW w:w="883" w:type="dxa"/>
            <w:tcBorders>
              <w:top w:val="single" w:color="auto" w:sz="4" w:space="0"/>
              <w:left w:val="single" w:color="000000" w:sz="4" w:space="0"/>
              <w:bottom w:val="single" w:color="auto" w:sz="4" w:space="0"/>
              <w:right w:val="single" w:color="000000" w:sz="4" w:space="0"/>
            </w:tcBorders>
            <w:vAlign w:val="center"/>
          </w:tcPr>
          <w:p w14:paraId="6A3E1500">
            <w:pPr>
              <w:widowControl/>
              <w:jc w:val="center"/>
              <w:rPr>
                <w:rFonts w:hint="eastAsia" w:ascii="宋体" w:hAnsi="宋体"/>
                <w:szCs w:val="21"/>
              </w:rPr>
            </w:pPr>
            <w:r>
              <w:rPr>
                <w:rFonts w:hint="eastAsia" w:ascii="宋体" w:hAnsi="宋体"/>
                <w:szCs w:val="21"/>
              </w:rPr>
              <w:t>9</w:t>
            </w:r>
          </w:p>
        </w:tc>
      </w:tr>
      <w:tr w14:paraId="210BA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jc w:val="center"/>
        </w:trPr>
        <w:tc>
          <w:tcPr>
            <w:tcW w:w="1433" w:type="dxa"/>
            <w:vMerge w:val="continue"/>
            <w:tcBorders>
              <w:left w:val="single" w:color="000000" w:sz="4" w:space="0"/>
              <w:right w:val="single" w:color="000000" w:sz="4" w:space="0"/>
            </w:tcBorders>
            <w:vAlign w:val="center"/>
          </w:tcPr>
          <w:p w14:paraId="46B708F4">
            <w:pPr>
              <w:widowControl/>
              <w:jc w:val="center"/>
              <w:rPr>
                <w:rFonts w:hint="eastAsia" w:ascii="宋体" w:hAnsi="宋体"/>
                <w:szCs w:val="21"/>
                <w:highlight w:val="none"/>
              </w:rPr>
            </w:pPr>
          </w:p>
        </w:tc>
        <w:tc>
          <w:tcPr>
            <w:tcW w:w="1134" w:type="dxa"/>
            <w:tcBorders>
              <w:left w:val="single" w:color="000000" w:sz="4" w:space="0"/>
              <w:bottom w:val="single" w:color="000000" w:sz="4" w:space="0"/>
              <w:right w:val="single" w:color="000000" w:sz="4" w:space="0"/>
            </w:tcBorders>
            <w:vAlign w:val="center"/>
          </w:tcPr>
          <w:p w14:paraId="76DF49B6">
            <w:pPr>
              <w:jc w:val="center"/>
              <w:rPr>
                <w:rFonts w:hint="eastAsia" w:ascii="宋体" w:hAnsi="宋体"/>
                <w:szCs w:val="21"/>
                <w:highlight w:val="none"/>
              </w:rPr>
            </w:pPr>
            <w:r>
              <w:rPr>
                <w:rFonts w:hint="eastAsia" w:ascii="宋体" w:hAnsi="宋体"/>
                <w:szCs w:val="21"/>
                <w:highlight w:val="none"/>
              </w:rPr>
              <w:t>人员配置与团队实力</w:t>
            </w:r>
          </w:p>
          <w:p w14:paraId="6F1BB97C">
            <w:pPr>
              <w:jc w:val="center"/>
              <w:rPr>
                <w:rFonts w:hint="eastAsia" w:ascii="宋体" w:hAnsi="宋体"/>
                <w:szCs w:val="21"/>
                <w:highlight w:val="none"/>
              </w:rPr>
            </w:pPr>
            <w:r>
              <w:rPr>
                <w:rFonts w:hint="eastAsia" w:ascii="宋体"/>
                <w:szCs w:val="21"/>
                <w:highlight w:val="none"/>
              </w:rPr>
              <w:t>（14分）</w:t>
            </w:r>
          </w:p>
        </w:tc>
        <w:tc>
          <w:tcPr>
            <w:tcW w:w="5906" w:type="dxa"/>
            <w:tcBorders>
              <w:top w:val="single" w:color="auto" w:sz="4" w:space="0"/>
              <w:left w:val="single" w:color="000000" w:sz="4" w:space="0"/>
              <w:bottom w:val="single" w:color="000000" w:sz="4" w:space="0"/>
              <w:right w:val="single" w:color="000000" w:sz="4" w:space="0"/>
            </w:tcBorders>
            <w:vAlign w:val="center"/>
          </w:tcPr>
          <w:p w14:paraId="15A7B951">
            <w:pPr>
              <w:widowControl/>
              <w:numPr>
                <w:ilvl w:val="255"/>
                <w:numId w:val="0"/>
              </w:numPr>
              <w:rPr>
                <w:rFonts w:hint="eastAsia" w:ascii="宋体" w:hAnsi="宋体"/>
                <w:szCs w:val="21"/>
                <w:highlight w:val="none"/>
              </w:rPr>
            </w:pPr>
            <w:r>
              <w:rPr>
                <w:rFonts w:hint="eastAsia" w:ascii="宋体" w:hAnsi="宋体"/>
                <w:szCs w:val="21"/>
                <w:highlight w:val="none"/>
              </w:rPr>
              <w:t>1.针对投标人对本项目管理人员及服务团队的配置方案进行评审</w:t>
            </w:r>
            <w:r>
              <w:rPr>
                <w:rFonts w:hint="eastAsia" w:ascii="宋体" w:hAnsi="宋体"/>
                <w:szCs w:val="21"/>
                <w:highlight w:val="none"/>
                <w:lang w:eastAsia="zh-CN"/>
              </w:rPr>
              <w:t>（</w:t>
            </w:r>
            <w:r>
              <w:rPr>
                <w:rFonts w:hint="eastAsia" w:ascii="宋体" w:hAnsi="宋体"/>
                <w:szCs w:val="21"/>
                <w:highlight w:val="none"/>
                <w:lang w:val="en-US" w:eastAsia="zh-CN"/>
              </w:rPr>
              <w:t>4分</w:t>
            </w:r>
            <w:r>
              <w:rPr>
                <w:rFonts w:hint="eastAsia" w:ascii="宋体" w:hAnsi="宋体"/>
                <w:szCs w:val="21"/>
                <w:highlight w:val="none"/>
                <w:lang w:eastAsia="zh-CN"/>
              </w:rPr>
              <w:t>）</w:t>
            </w:r>
            <w:r>
              <w:rPr>
                <w:rFonts w:hint="eastAsia" w:ascii="宋体" w:hAnsi="宋体"/>
                <w:szCs w:val="21"/>
                <w:highlight w:val="none"/>
              </w:rPr>
              <w:t>，方案科学、合理、可行的得</w:t>
            </w:r>
            <w:r>
              <w:rPr>
                <w:rFonts w:ascii="宋体" w:hAnsi="宋体"/>
                <w:szCs w:val="21"/>
                <w:highlight w:val="none"/>
              </w:rPr>
              <w:t>2-</w:t>
            </w:r>
            <w:r>
              <w:rPr>
                <w:rFonts w:hint="eastAsia" w:ascii="宋体" w:hAnsi="宋体"/>
                <w:szCs w:val="21"/>
                <w:highlight w:val="none"/>
              </w:rPr>
              <w:t>4分</w:t>
            </w:r>
            <w:r>
              <w:rPr>
                <w:rFonts w:ascii="宋体" w:hAnsi="宋体"/>
                <w:szCs w:val="21"/>
                <w:highlight w:val="none"/>
              </w:rPr>
              <w:t>；</w:t>
            </w:r>
            <w:r>
              <w:rPr>
                <w:rFonts w:hint="eastAsia" w:ascii="宋体" w:hAnsi="宋体"/>
                <w:szCs w:val="21"/>
                <w:highlight w:val="none"/>
              </w:rPr>
              <w:t>一般得</w:t>
            </w:r>
            <w:r>
              <w:rPr>
                <w:rFonts w:ascii="宋体" w:hAnsi="宋体"/>
                <w:szCs w:val="21"/>
                <w:highlight w:val="none"/>
              </w:rPr>
              <w:t>1-1.9</w:t>
            </w:r>
            <w:r>
              <w:rPr>
                <w:rFonts w:hint="eastAsia" w:ascii="宋体" w:hAnsi="宋体"/>
                <w:szCs w:val="21"/>
                <w:highlight w:val="none"/>
              </w:rPr>
              <w:t>分；较差或未充分描述0</w:t>
            </w:r>
            <w:r>
              <w:rPr>
                <w:rFonts w:ascii="宋体" w:hAnsi="宋体"/>
                <w:szCs w:val="21"/>
                <w:highlight w:val="none"/>
              </w:rPr>
              <w:t>-0.9</w:t>
            </w:r>
            <w:r>
              <w:rPr>
                <w:rFonts w:hint="eastAsia" w:ascii="宋体" w:hAnsi="宋体"/>
                <w:szCs w:val="21"/>
                <w:highlight w:val="none"/>
              </w:rPr>
              <w:t>分。</w:t>
            </w:r>
          </w:p>
          <w:p w14:paraId="027CFDB5">
            <w:pPr>
              <w:pStyle w:val="2"/>
              <w:numPr>
                <w:ilvl w:val="255"/>
                <w:numId w:val="0"/>
              </w:numPr>
              <w:rPr>
                <w:highlight w:val="none"/>
              </w:rPr>
            </w:pPr>
            <w:r>
              <w:rPr>
                <w:rFonts w:hint="eastAsia"/>
                <w:highlight w:val="none"/>
              </w:rPr>
              <w:t>2.项目管理人员资质（</w:t>
            </w:r>
            <w:r>
              <w:rPr>
                <w:rFonts w:hint="eastAsia"/>
                <w:highlight w:val="none"/>
                <w:lang w:val="en-US" w:eastAsia="zh-CN"/>
              </w:rPr>
              <w:t>2</w:t>
            </w:r>
            <w:r>
              <w:rPr>
                <w:rFonts w:hint="eastAsia"/>
                <w:highlight w:val="none"/>
              </w:rPr>
              <w:t>分）： 拟派</w:t>
            </w:r>
            <w:r>
              <w:rPr>
                <w:rFonts w:hint="eastAsia"/>
                <w:highlight w:val="none"/>
                <w:lang w:val="en-US" w:eastAsia="zh-CN"/>
              </w:rPr>
              <w:t>驻点</w:t>
            </w:r>
            <w:r>
              <w:rPr>
                <w:rFonts w:hint="eastAsia"/>
                <w:highlight w:val="none"/>
              </w:rPr>
              <w:t>项目管理人员</w:t>
            </w:r>
            <w:r>
              <w:rPr>
                <w:rFonts w:hint="eastAsia"/>
                <w:highlight w:val="none"/>
                <w:lang w:val="en-US" w:eastAsia="zh-CN"/>
              </w:rPr>
              <w:t>年龄要求45周岁以下，大专及以上学历，</w:t>
            </w:r>
            <w:r>
              <w:rPr>
                <w:rFonts w:hint="eastAsia"/>
                <w:highlight w:val="none"/>
              </w:rPr>
              <w:t>同时具有高级养老护理员或护理学初级及以上职称</w:t>
            </w:r>
            <w:r>
              <w:rPr>
                <w:rFonts w:hint="eastAsia"/>
                <w:highlight w:val="none"/>
                <w:lang w:eastAsia="zh-CN"/>
              </w:rPr>
              <w:t>，</w:t>
            </w:r>
            <w:r>
              <w:rPr>
                <w:rFonts w:hint="eastAsia"/>
                <w:highlight w:val="none"/>
              </w:rPr>
              <w:t>且具有</w:t>
            </w:r>
            <w:r>
              <w:rPr>
                <w:rFonts w:hint="eastAsia"/>
                <w:highlight w:val="none"/>
                <w:lang w:val="en-US" w:eastAsia="zh-CN"/>
              </w:rPr>
              <w:t>3</w:t>
            </w:r>
            <w:r>
              <w:rPr>
                <w:rFonts w:hint="eastAsia"/>
                <w:highlight w:val="none"/>
              </w:rPr>
              <w:t>年以上养老机构管理经验的，得2分。（须提供相关证书复印件及履历证明，履历证明需包含过往管理项目的相关证明材料，如甲方证明或任职文件，并加盖公章）。</w:t>
            </w:r>
          </w:p>
          <w:p w14:paraId="61FE5BC2">
            <w:pPr>
              <w:widowControl/>
              <w:rPr>
                <w:rFonts w:hint="eastAsia" w:eastAsia="宋体"/>
                <w:highlight w:val="none"/>
                <w:lang w:eastAsia="zh-CN"/>
              </w:rPr>
            </w:pPr>
            <w:r>
              <w:rPr>
                <w:rFonts w:hint="eastAsia"/>
                <w:highlight w:val="none"/>
              </w:rPr>
              <w:t>3. 护理员持证承诺（</w:t>
            </w:r>
            <w:r>
              <w:rPr>
                <w:rFonts w:hint="eastAsia"/>
                <w:highlight w:val="none"/>
                <w:lang w:val="en-US" w:eastAsia="zh-CN"/>
              </w:rPr>
              <w:t>6</w:t>
            </w:r>
            <w:r>
              <w:rPr>
                <w:rFonts w:hint="eastAsia"/>
                <w:highlight w:val="none"/>
              </w:rPr>
              <w:t>分）：</w:t>
            </w:r>
            <w:r>
              <w:rPr>
                <w:rFonts w:hint="eastAsia" w:ascii="宋体" w:hAnsi="宋体"/>
                <w:szCs w:val="21"/>
                <w:highlight w:val="none"/>
              </w:rPr>
              <w:t>承诺可投入</w:t>
            </w:r>
            <w:r>
              <w:rPr>
                <w:rFonts w:hint="eastAsia" w:ascii="宋体" w:hAnsi="宋体"/>
                <w:szCs w:val="21"/>
                <w:highlight w:val="none"/>
                <w:lang w:val="en-US" w:eastAsia="zh-CN"/>
              </w:rPr>
              <w:t>70</w:t>
            </w:r>
            <w:r>
              <w:rPr>
                <w:rFonts w:hint="eastAsia" w:ascii="宋体" w:hAnsi="宋体"/>
                <w:szCs w:val="21"/>
                <w:highlight w:val="none"/>
              </w:rPr>
              <w:t>名持有人社部门颁发、且可在技能人才评价证书全国联网查询系统查询的养老护理员等级证书、并签订正式劳动（劳务）合同的护理员，得</w:t>
            </w:r>
            <w:r>
              <w:rPr>
                <w:rFonts w:hint="eastAsia" w:ascii="宋体" w:hAnsi="宋体"/>
                <w:szCs w:val="21"/>
                <w:highlight w:val="none"/>
                <w:lang w:val="en-US" w:eastAsia="zh-CN"/>
              </w:rPr>
              <w:t>2</w:t>
            </w:r>
            <w:r>
              <w:rPr>
                <w:rFonts w:hint="eastAsia" w:ascii="宋体" w:hAnsi="宋体"/>
                <w:szCs w:val="21"/>
                <w:highlight w:val="none"/>
              </w:rPr>
              <w:t>分；在此基础上，每增加10名，加</w:t>
            </w:r>
            <w:r>
              <w:rPr>
                <w:rFonts w:hint="eastAsia" w:ascii="宋体" w:hAnsi="宋体"/>
                <w:szCs w:val="21"/>
                <w:highlight w:val="none"/>
                <w:lang w:val="en-US" w:eastAsia="zh-CN"/>
              </w:rPr>
              <w:t>1</w:t>
            </w:r>
            <w:r>
              <w:rPr>
                <w:rFonts w:hint="eastAsia" w:ascii="宋体" w:hAnsi="宋体"/>
                <w:szCs w:val="21"/>
                <w:highlight w:val="none"/>
              </w:rPr>
              <w:t>分，最多加</w:t>
            </w:r>
            <w:r>
              <w:rPr>
                <w:rFonts w:hint="eastAsia" w:ascii="宋体" w:hAnsi="宋体"/>
                <w:szCs w:val="21"/>
                <w:highlight w:val="none"/>
                <w:lang w:val="en-US" w:eastAsia="zh-CN"/>
              </w:rPr>
              <w:t>2</w:t>
            </w:r>
            <w:r>
              <w:rPr>
                <w:rFonts w:hint="eastAsia" w:ascii="宋体" w:hAnsi="宋体"/>
                <w:szCs w:val="21"/>
                <w:highlight w:val="none"/>
              </w:rPr>
              <w:t>分。</w:t>
            </w:r>
            <w:r>
              <w:rPr>
                <w:rFonts w:hint="eastAsia"/>
                <w:highlight w:val="none"/>
              </w:rPr>
              <w:t>承诺所有派驻护理员100%持有国家认可的“养老护理员职业资格证书”或“职业技能等级证书”，得2分；承诺持证率</w:t>
            </w:r>
            <w:r>
              <w:rPr>
                <w:rFonts w:hint="eastAsia"/>
                <w:highlight w:val="none"/>
                <w:lang w:val="en-US" w:eastAsia="zh-CN"/>
              </w:rPr>
              <w:t>90%-100%之间的</w:t>
            </w:r>
            <w:r>
              <w:rPr>
                <w:rFonts w:hint="eastAsia"/>
                <w:highlight w:val="none"/>
              </w:rPr>
              <w:t>得1分，低于90%不得分（提供承诺函）</w:t>
            </w:r>
            <w:r>
              <w:rPr>
                <w:rFonts w:hint="eastAsia"/>
                <w:highlight w:val="none"/>
                <w:lang w:eastAsia="zh-CN"/>
              </w:rPr>
              <w:t>。</w:t>
            </w:r>
          </w:p>
          <w:p w14:paraId="1750CACF">
            <w:pPr>
              <w:pStyle w:val="2"/>
              <w:numPr>
                <w:ilvl w:val="255"/>
                <w:numId w:val="0"/>
              </w:numPr>
              <w:rPr>
                <w:rFonts w:hint="eastAsia" w:ascii="宋体" w:hAnsi="宋体" w:eastAsia="宋体"/>
                <w:szCs w:val="21"/>
                <w:highlight w:val="none"/>
                <w:lang w:eastAsia="zh-CN"/>
              </w:rPr>
            </w:pPr>
            <w:r>
              <w:rPr>
                <w:rFonts w:hint="eastAsia"/>
                <w:highlight w:val="none"/>
              </w:rPr>
              <w:t>4.护理员年龄结构（</w:t>
            </w:r>
            <w:r>
              <w:rPr>
                <w:rFonts w:hint="eastAsia"/>
                <w:highlight w:val="none"/>
                <w:lang w:val="en-US" w:eastAsia="zh-CN"/>
              </w:rPr>
              <w:t>2</w:t>
            </w:r>
            <w:r>
              <w:rPr>
                <w:rFonts w:hint="eastAsia"/>
                <w:highlight w:val="none"/>
              </w:rPr>
              <w:t xml:space="preserve">分）：投标人承诺拟派驻的护理团队人员中，年龄在45周岁（含）至55周岁（含） 的人员数量占团队总人数的比例达到80%及以上，得 </w:t>
            </w:r>
            <w:r>
              <w:rPr>
                <w:rFonts w:hint="eastAsia"/>
                <w:highlight w:val="none"/>
                <w:lang w:val="en-US" w:eastAsia="zh-CN"/>
              </w:rPr>
              <w:t>2</w:t>
            </w:r>
            <w:r>
              <w:rPr>
                <w:rFonts w:hint="eastAsia"/>
                <w:highlight w:val="none"/>
              </w:rPr>
              <w:t>分。投标人承诺拟派驻的护理团队平均年龄在 55周岁（不含）至60周岁（含）之间，得</w:t>
            </w:r>
            <w:r>
              <w:rPr>
                <w:rFonts w:hint="eastAsia"/>
                <w:highlight w:val="none"/>
                <w:lang w:val="en-US" w:eastAsia="zh-CN"/>
              </w:rPr>
              <w:t>1</w:t>
            </w:r>
            <w:r>
              <w:rPr>
                <w:rFonts w:hint="eastAsia"/>
                <w:highlight w:val="none"/>
              </w:rPr>
              <w:t>分。投标人承诺拟派驻的护理团队平均年龄超过60周岁，或团队中含有低于20周岁的人员，或年龄在45周岁至55周岁之间的人员占比低于80% 但不符合上述第2项得分条件的，此项不得分。</w:t>
            </w:r>
          </w:p>
        </w:tc>
        <w:tc>
          <w:tcPr>
            <w:tcW w:w="883" w:type="dxa"/>
            <w:tcBorders>
              <w:top w:val="single" w:color="auto" w:sz="4" w:space="0"/>
              <w:left w:val="single" w:color="000000" w:sz="4" w:space="0"/>
              <w:bottom w:val="single" w:color="000000" w:sz="4" w:space="0"/>
              <w:right w:val="single" w:color="000000" w:sz="4" w:space="0"/>
            </w:tcBorders>
            <w:vAlign w:val="center"/>
          </w:tcPr>
          <w:p w14:paraId="11811B94">
            <w:pPr>
              <w:widowControl/>
              <w:jc w:val="center"/>
              <w:rPr>
                <w:rFonts w:hint="eastAsia" w:ascii="宋体" w:hAnsi="宋体"/>
                <w:szCs w:val="21"/>
              </w:rPr>
            </w:pPr>
            <w:r>
              <w:rPr>
                <w:rFonts w:hint="eastAsia" w:ascii="宋体" w:hAnsi="宋体"/>
                <w:szCs w:val="21"/>
              </w:rPr>
              <w:t>14</w:t>
            </w:r>
          </w:p>
        </w:tc>
      </w:tr>
      <w:tr w14:paraId="3C3E4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jc w:val="center"/>
        </w:trPr>
        <w:tc>
          <w:tcPr>
            <w:tcW w:w="1433" w:type="dxa"/>
            <w:vMerge w:val="continue"/>
            <w:tcBorders>
              <w:left w:val="single" w:color="000000" w:sz="4" w:space="0"/>
              <w:right w:val="single" w:color="000000" w:sz="4" w:space="0"/>
            </w:tcBorders>
            <w:vAlign w:val="center"/>
          </w:tcPr>
          <w:p w14:paraId="58442E65">
            <w:pPr>
              <w:widowControl/>
              <w:jc w:val="center"/>
              <w:rPr>
                <w:rFonts w:hint="eastAsia" w:ascii="宋体" w:hAnsi="宋体"/>
                <w:szCs w:val="21"/>
              </w:rPr>
            </w:pPr>
          </w:p>
        </w:tc>
        <w:tc>
          <w:tcPr>
            <w:tcW w:w="1134" w:type="dxa"/>
            <w:tcBorders>
              <w:left w:val="single" w:color="000000" w:sz="4" w:space="0"/>
              <w:bottom w:val="single" w:color="000000" w:sz="4" w:space="0"/>
              <w:right w:val="single" w:color="000000" w:sz="4" w:space="0"/>
            </w:tcBorders>
            <w:vAlign w:val="center"/>
          </w:tcPr>
          <w:p w14:paraId="4AB4AB69">
            <w:pPr>
              <w:jc w:val="center"/>
              <w:rPr>
                <w:rFonts w:hint="eastAsia" w:ascii="宋体" w:hAnsi="宋体"/>
                <w:szCs w:val="21"/>
                <w:highlight w:val="none"/>
              </w:rPr>
            </w:pPr>
            <w:r>
              <w:rPr>
                <w:rFonts w:hint="eastAsia" w:ascii="宋体" w:hAnsi="宋体"/>
                <w:szCs w:val="21"/>
                <w:highlight w:val="none"/>
              </w:rPr>
              <w:t>人员培训方案</w:t>
            </w:r>
          </w:p>
          <w:p w14:paraId="1020C95E">
            <w:pPr>
              <w:jc w:val="center"/>
              <w:rPr>
                <w:rFonts w:hint="eastAsia" w:ascii="宋体" w:hAnsi="宋体"/>
                <w:szCs w:val="21"/>
                <w:highlight w:val="none"/>
              </w:rPr>
            </w:pPr>
            <w:r>
              <w:rPr>
                <w:rFonts w:hint="eastAsia" w:ascii="宋体"/>
                <w:szCs w:val="21"/>
                <w:highlight w:val="none"/>
              </w:rPr>
              <w:t>（8分）</w:t>
            </w:r>
          </w:p>
        </w:tc>
        <w:tc>
          <w:tcPr>
            <w:tcW w:w="5906" w:type="dxa"/>
            <w:tcBorders>
              <w:top w:val="single" w:color="auto" w:sz="4" w:space="0"/>
              <w:left w:val="single" w:color="000000" w:sz="4" w:space="0"/>
              <w:bottom w:val="single" w:color="000000" w:sz="4" w:space="0"/>
              <w:right w:val="single" w:color="000000" w:sz="4" w:space="0"/>
            </w:tcBorders>
            <w:vAlign w:val="center"/>
          </w:tcPr>
          <w:p w14:paraId="54D9D60B">
            <w:pPr>
              <w:widowControl/>
              <w:rPr>
                <w:highlight w:val="none"/>
              </w:rPr>
            </w:pPr>
            <w:r>
              <w:rPr>
                <w:rFonts w:hint="eastAsia"/>
                <w:highlight w:val="none"/>
              </w:rPr>
              <w:t>1. 岗前与在职培训（4分）： 提供完善的岗前培训、在职提升培训及月度考核机制，培训记录可追溯的，得4分。</w:t>
            </w:r>
          </w:p>
          <w:p w14:paraId="43F534FE">
            <w:pPr>
              <w:widowControl/>
              <w:rPr>
                <w:rFonts w:hint="eastAsia" w:ascii="宋体" w:hAnsi="宋体"/>
                <w:szCs w:val="21"/>
                <w:highlight w:val="none"/>
              </w:rPr>
            </w:pPr>
            <w:r>
              <w:rPr>
                <w:rFonts w:hint="eastAsia"/>
                <w:highlight w:val="none"/>
              </w:rPr>
              <w:t>2. 培训方案可行性（4分）： 针对投标人对本项目的培训方式、培训内容及培训计划等方案进行评审，方案科学、合理、可行的得1-2分；一般或未充分描述0-0.9分。</w:t>
            </w:r>
          </w:p>
        </w:tc>
        <w:tc>
          <w:tcPr>
            <w:tcW w:w="883" w:type="dxa"/>
            <w:tcBorders>
              <w:top w:val="single" w:color="auto" w:sz="4" w:space="0"/>
              <w:left w:val="single" w:color="000000" w:sz="4" w:space="0"/>
              <w:bottom w:val="single" w:color="000000" w:sz="4" w:space="0"/>
              <w:right w:val="single" w:color="000000" w:sz="4" w:space="0"/>
            </w:tcBorders>
            <w:vAlign w:val="center"/>
          </w:tcPr>
          <w:p w14:paraId="30FEDBAD">
            <w:pPr>
              <w:widowControl/>
              <w:jc w:val="center"/>
              <w:rPr>
                <w:rFonts w:hint="eastAsia" w:ascii="宋体" w:hAnsi="宋体"/>
                <w:szCs w:val="21"/>
              </w:rPr>
            </w:pPr>
            <w:r>
              <w:rPr>
                <w:rFonts w:hint="eastAsia" w:ascii="宋体" w:hAnsi="宋体"/>
                <w:szCs w:val="21"/>
              </w:rPr>
              <w:t>8</w:t>
            </w:r>
          </w:p>
        </w:tc>
      </w:tr>
      <w:tr w14:paraId="20FC1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jc w:val="center"/>
        </w:trPr>
        <w:tc>
          <w:tcPr>
            <w:tcW w:w="1433" w:type="dxa"/>
            <w:vMerge w:val="continue"/>
            <w:tcBorders>
              <w:left w:val="single" w:color="000000" w:sz="4" w:space="0"/>
              <w:right w:val="single" w:color="000000" w:sz="4" w:space="0"/>
            </w:tcBorders>
            <w:vAlign w:val="center"/>
          </w:tcPr>
          <w:p w14:paraId="3C7BA8DB">
            <w:pPr>
              <w:widowControl/>
              <w:jc w:val="center"/>
              <w:rPr>
                <w:rFonts w:hint="eastAsia" w:ascii="宋体" w:hAnsi="宋体"/>
                <w:szCs w:val="21"/>
              </w:rPr>
            </w:pPr>
          </w:p>
        </w:tc>
        <w:tc>
          <w:tcPr>
            <w:tcW w:w="1134" w:type="dxa"/>
            <w:tcBorders>
              <w:left w:val="single" w:color="000000" w:sz="4" w:space="0"/>
              <w:bottom w:val="single" w:color="000000" w:sz="4" w:space="0"/>
              <w:right w:val="single" w:color="000000" w:sz="4" w:space="0"/>
            </w:tcBorders>
            <w:vAlign w:val="center"/>
          </w:tcPr>
          <w:p w14:paraId="6F099EDD">
            <w:pPr>
              <w:jc w:val="center"/>
              <w:rPr>
                <w:highlight w:val="none"/>
              </w:rPr>
            </w:pPr>
            <w:r>
              <w:rPr>
                <w:rFonts w:hint="eastAsia"/>
                <w:highlight w:val="none"/>
              </w:rPr>
              <w:t>护理服务规范流程</w:t>
            </w:r>
          </w:p>
          <w:p w14:paraId="5F208529">
            <w:pPr>
              <w:pStyle w:val="2"/>
              <w:ind w:firstLine="210"/>
              <w:rPr>
                <w:highlight w:val="none"/>
              </w:rPr>
            </w:pPr>
            <w:r>
              <w:rPr>
                <w:rFonts w:ascii="宋体" w:hAnsi="宋体" w:eastAsia="宋体" w:cs="宋体"/>
                <w:szCs w:val="21"/>
                <w:highlight w:val="none"/>
              </w:rPr>
              <w:t>(</w:t>
            </w:r>
            <w:r>
              <w:rPr>
                <w:rFonts w:hint="eastAsia" w:ascii="宋体" w:hAnsi="宋体" w:eastAsia="宋体" w:cs="宋体"/>
                <w:szCs w:val="21"/>
                <w:highlight w:val="none"/>
              </w:rPr>
              <w:t>10分）</w:t>
            </w:r>
          </w:p>
        </w:tc>
        <w:tc>
          <w:tcPr>
            <w:tcW w:w="5906" w:type="dxa"/>
            <w:tcBorders>
              <w:top w:val="single" w:color="auto" w:sz="4" w:space="0"/>
              <w:left w:val="single" w:color="000000" w:sz="4" w:space="0"/>
              <w:bottom w:val="single" w:color="000000" w:sz="4" w:space="0"/>
              <w:right w:val="single" w:color="000000" w:sz="4" w:space="0"/>
            </w:tcBorders>
            <w:vAlign w:val="center"/>
          </w:tcPr>
          <w:p w14:paraId="7DA15FEA">
            <w:pPr>
              <w:widowControl/>
              <w:rPr>
                <w:rFonts w:ascii="宋体" w:hAnsi="宋体" w:eastAsia="宋体" w:cs="宋体"/>
                <w:szCs w:val="21"/>
                <w:highlight w:val="none"/>
              </w:rPr>
            </w:pPr>
            <w:r>
              <w:rPr>
                <w:rFonts w:hint="eastAsia" w:ascii="宋体" w:hAnsi="宋体" w:eastAsia="宋体" w:cs="宋体"/>
                <w:szCs w:val="21"/>
                <w:highlight w:val="none"/>
              </w:rPr>
              <w:t>1. 护理服务规范（5分）： 建立了详细的护理服务质量检查标准（如：翻身叩背标准、口腔清洁标准、失禁护理标准等量化指标），且制定了不同护理等级的服务范围与流程的，方案规范可行得2-5分；较差得0-1.9分。</w:t>
            </w:r>
          </w:p>
          <w:p w14:paraId="32E99509">
            <w:pPr>
              <w:widowControl/>
              <w:rPr>
                <w:rFonts w:hint="eastAsia" w:ascii="宋体" w:hAnsi="宋体"/>
                <w:szCs w:val="21"/>
                <w:highlight w:val="none"/>
              </w:rPr>
            </w:pPr>
            <w:r>
              <w:rPr>
                <w:rFonts w:hint="eastAsia" w:ascii="宋体" w:hAnsi="宋体" w:eastAsia="宋体" w:cs="宋体"/>
                <w:szCs w:val="21"/>
                <w:highlight w:val="none"/>
              </w:rPr>
              <w:t>2. 失智症（认知症）专护方案（5分）： 提供针对失智长者的非药物干预具体实施方案（如：怀旧疗法、音乐疗法、多感官刺激等），以及针对精神行为症状（BPSD）的应对策略（如：防激越、防走失、防藏药等）。方案包含详细的评估工具（如MMSE量表应用）、行为记录分析及个性化干预案例者，得5分；仅有笼统看护说明，不得分。</w:t>
            </w:r>
          </w:p>
        </w:tc>
        <w:tc>
          <w:tcPr>
            <w:tcW w:w="883" w:type="dxa"/>
            <w:tcBorders>
              <w:top w:val="single" w:color="auto" w:sz="4" w:space="0"/>
              <w:left w:val="single" w:color="000000" w:sz="4" w:space="0"/>
              <w:bottom w:val="single" w:color="000000" w:sz="4" w:space="0"/>
              <w:right w:val="single" w:color="000000" w:sz="4" w:space="0"/>
            </w:tcBorders>
            <w:vAlign w:val="center"/>
          </w:tcPr>
          <w:p w14:paraId="46074C04">
            <w:pPr>
              <w:widowControl/>
              <w:jc w:val="center"/>
              <w:rPr>
                <w:rFonts w:hint="eastAsia" w:ascii="宋体" w:hAnsi="宋体"/>
                <w:szCs w:val="21"/>
              </w:rPr>
            </w:pPr>
            <w:r>
              <w:rPr>
                <w:rFonts w:hint="eastAsia" w:ascii="宋体" w:hAnsi="宋体"/>
                <w:szCs w:val="21"/>
              </w:rPr>
              <w:t>10</w:t>
            </w:r>
          </w:p>
        </w:tc>
      </w:tr>
      <w:tr w14:paraId="79FF0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jc w:val="center"/>
        </w:trPr>
        <w:tc>
          <w:tcPr>
            <w:tcW w:w="1433" w:type="dxa"/>
            <w:vMerge w:val="continue"/>
            <w:tcBorders>
              <w:left w:val="single" w:color="000000" w:sz="4" w:space="0"/>
              <w:right w:val="single" w:color="000000" w:sz="4" w:space="0"/>
            </w:tcBorders>
            <w:vAlign w:val="center"/>
          </w:tcPr>
          <w:p w14:paraId="01DD96AC">
            <w:pPr>
              <w:widowControl/>
              <w:jc w:val="center"/>
              <w:rPr>
                <w:rFonts w:hint="eastAsia" w:ascii="宋体" w:hAnsi="宋体"/>
                <w:szCs w:val="21"/>
              </w:rPr>
            </w:pPr>
          </w:p>
        </w:tc>
        <w:tc>
          <w:tcPr>
            <w:tcW w:w="1134" w:type="dxa"/>
            <w:tcBorders>
              <w:left w:val="single" w:color="000000" w:sz="4" w:space="0"/>
              <w:bottom w:val="single" w:color="000000" w:sz="4" w:space="0"/>
              <w:right w:val="single" w:color="000000" w:sz="4" w:space="0"/>
            </w:tcBorders>
            <w:vAlign w:val="center"/>
          </w:tcPr>
          <w:p w14:paraId="4FCD4009">
            <w:pPr>
              <w:jc w:val="center"/>
              <w:rPr>
                <w:rFonts w:hint="eastAsia" w:ascii="宋体" w:hAnsi="宋体"/>
                <w:szCs w:val="21"/>
              </w:rPr>
            </w:pPr>
            <w:r>
              <w:rPr>
                <w:rFonts w:hint="eastAsia" w:ascii="宋体" w:hAnsi="宋体"/>
                <w:szCs w:val="21"/>
              </w:rPr>
              <w:t>服务质量与风险管控</w:t>
            </w:r>
            <w:r>
              <w:rPr>
                <w:rFonts w:hint="eastAsia" w:ascii="宋体"/>
                <w:szCs w:val="21"/>
              </w:rPr>
              <w:t>（7分）</w:t>
            </w:r>
          </w:p>
        </w:tc>
        <w:tc>
          <w:tcPr>
            <w:tcW w:w="5906" w:type="dxa"/>
            <w:tcBorders>
              <w:top w:val="single" w:color="auto" w:sz="4" w:space="0"/>
              <w:left w:val="single" w:color="000000" w:sz="4" w:space="0"/>
              <w:bottom w:val="single" w:color="000000" w:sz="4" w:space="0"/>
              <w:right w:val="single" w:color="000000" w:sz="4" w:space="0"/>
            </w:tcBorders>
            <w:vAlign w:val="center"/>
          </w:tcPr>
          <w:p w14:paraId="101E6699">
            <w:pPr>
              <w:widowControl/>
              <w:rPr>
                <w:rFonts w:ascii="宋体" w:hAnsi="宋体"/>
                <w:szCs w:val="21"/>
              </w:rPr>
            </w:pPr>
            <w:r>
              <w:rPr>
                <w:rFonts w:hint="eastAsia" w:ascii="宋体" w:hAnsi="宋体"/>
                <w:szCs w:val="21"/>
              </w:rPr>
              <w:t>1. 服务质量管控（4分）： 结合本项目特点，针对服务质量持续改进、客户投诉处理、满意度调查等方面方案进行评审，方案科学、合理、可行的得3-4分；一般得1-2.9分；较差得0-0.9分。</w:t>
            </w:r>
          </w:p>
          <w:p w14:paraId="7952C070">
            <w:pPr>
              <w:widowControl/>
              <w:rPr>
                <w:rFonts w:hint="eastAsia" w:ascii="宋体" w:hAnsi="宋体"/>
                <w:szCs w:val="21"/>
              </w:rPr>
            </w:pPr>
            <w:r>
              <w:rPr>
                <w:rFonts w:hint="eastAsia" w:ascii="宋体" w:hAnsi="宋体"/>
                <w:szCs w:val="21"/>
              </w:rPr>
              <w:t>2.风险防范措施（3分）： 针对老年人常见风险（跌倒、走失、烫伤、压疮等）提出具体的预防措施和干预方案，方案全面、可行的得2-3分；一般得0-1.9分。</w:t>
            </w:r>
          </w:p>
        </w:tc>
        <w:tc>
          <w:tcPr>
            <w:tcW w:w="883" w:type="dxa"/>
            <w:tcBorders>
              <w:top w:val="single" w:color="auto" w:sz="4" w:space="0"/>
              <w:left w:val="single" w:color="000000" w:sz="4" w:space="0"/>
              <w:bottom w:val="single" w:color="000000" w:sz="4" w:space="0"/>
              <w:right w:val="single" w:color="000000" w:sz="4" w:space="0"/>
            </w:tcBorders>
            <w:vAlign w:val="center"/>
          </w:tcPr>
          <w:p w14:paraId="76AD861D">
            <w:pPr>
              <w:widowControl/>
              <w:jc w:val="center"/>
              <w:rPr>
                <w:rFonts w:hint="eastAsia" w:ascii="宋体" w:hAnsi="宋体"/>
                <w:szCs w:val="21"/>
              </w:rPr>
            </w:pPr>
            <w:r>
              <w:rPr>
                <w:rFonts w:hint="eastAsia" w:ascii="宋体" w:hAnsi="宋体"/>
                <w:szCs w:val="21"/>
              </w:rPr>
              <w:t>7</w:t>
            </w:r>
          </w:p>
        </w:tc>
      </w:tr>
      <w:tr w14:paraId="43073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jc w:val="center"/>
        </w:trPr>
        <w:tc>
          <w:tcPr>
            <w:tcW w:w="1433" w:type="dxa"/>
            <w:vMerge w:val="continue"/>
            <w:tcBorders>
              <w:left w:val="single" w:color="000000" w:sz="4" w:space="0"/>
              <w:right w:val="single" w:color="000000" w:sz="4" w:space="0"/>
            </w:tcBorders>
            <w:vAlign w:val="center"/>
          </w:tcPr>
          <w:p w14:paraId="4819CDC0">
            <w:pPr>
              <w:widowControl/>
              <w:jc w:val="center"/>
              <w:rPr>
                <w:rFonts w:hint="eastAsia" w:ascii="宋体" w:hAnsi="宋体"/>
                <w:szCs w:val="21"/>
              </w:rPr>
            </w:pPr>
          </w:p>
        </w:tc>
        <w:tc>
          <w:tcPr>
            <w:tcW w:w="1134" w:type="dxa"/>
            <w:tcBorders>
              <w:left w:val="single" w:color="000000" w:sz="4" w:space="0"/>
              <w:bottom w:val="single" w:color="000000" w:sz="4" w:space="0"/>
              <w:right w:val="single" w:color="000000" w:sz="4" w:space="0"/>
            </w:tcBorders>
            <w:vAlign w:val="center"/>
          </w:tcPr>
          <w:p w14:paraId="20F72448">
            <w:pPr>
              <w:jc w:val="center"/>
              <w:rPr>
                <w:rFonts w:hint="eastAsia" w:ascii="宋体" w:hAnsi="宋体"/>
                <w:szCs w:val="21"/>
                <w:highlight w:val="none"/>
              </w:rPr>
            </w:pPr>
            <w:r>
              <w:rPr>
                <w:rFonts w:hint="eastAsia" w:ascii="宋体" w:hAnsi="宋体"/>
                <w:szCs w:val="21"/>
                <w:highlight w:val="none"/>
              </w:rPr>
              <w:t>突发事件与应急管理</w:t>
            </w:r>
          </w:p>
          <w:p w14:paraId="238FDD61">
            <w:pPr>
              <w:jc w:val="center"/>
              <w:rPr>
                <w:rFonts w:hint="eastAsia" w:ascii="宋体" w:hAnsi="宋体"/>
                <w:szCs w:val="21"/>
                <w:highlight w:val="none"/>
              </w:rPr>
            </w:pPr>
            <w:r>
              <w:rPr>
                <w:rFonts w:hint="eastAsia" w:ascii="宋体"/>
                <w:szCs w:val="21"/>
                <w:highlight w:val="none"/>
              </w:rPr>
              <w:t>（10分）</w:t>
            </w:r>
          </w:p>
        </w:tc>
        <w:tc>
          <w:tcPr>
            <w:tcW w:w="5906" w:type="dxa"/>
            <w:tcBorders>
              <w:top w:val="single" w:color="auto" w:sz="4" w:space="0"/>
              <w:left w:val="single" w:color="000000" w:sz="4" w:space="0"/>
              <w:bottom w:val="single" w:color="000000" w:sz="4" w:space="0"/>
              <w:right w:val="single" w:color="000000" w:sz="4" w:space="0"/>
            </w:tcBorders>
            <w:vAlign w:val="center"/>
          </w:tcPr>
          <w:p w14:paraId="612C8E2E">
            <w:pPr>
              <w:widowControl/>
              <w:rPr>
                <w:rFonts w:ascii="宋体" w:hAnsi="宋体"/>
                <w:szCs w:val="21"/>
                <w:highlight w:val="none"/>
              </w:rPr>
            </w:pPr>
            <w:r>
              <w:rPr>
                <w:rFonts w:hint="eastAsia" w:ascii="宋体" w:hAnsi="宋体"/>
                <w:szCs w:val="21"/>
                <w:highlight w:val="none"/>
              </w:rPr>
              <w:t>1.突发事件应急预案（6分）：针对投标人对本项各项突发事件的应急处理方案（含医疗急救、火灾、食物中毒等）进行评审，方案科学、合理、可行的得4-6分；一般得2-3.9分；较差或未充分描述0-1.9分。</w:t>
            </w:r>
          </w:p>
          <w:p w14:paraId="0557608B">
            <w:pPr>
              <w:widowControl/>
              <w:rPr>
                <w:rFonts w:hint="eastAsia" w:ascii="宋体" w:hAnsi="宋体"/>
                <w:szCs w:val="21"/>
                <w:highlight w:val="none"/>
              </w:rPr>
            </w:pPr>
            <w:r>
              <w:rPr>
                <w:rFonts w:hint="eastAsia" w:ascii="宋体" w:hAnsi="宋体"/>
                <w:szCs w:val="21"/>
                <w:highlight w:val="none"/>
              </w:rPr>
              <w:t>2.人员短缺应急预案（4分）：提供突发人员短缺应急储备方案（含前述人才储备池调用、跨项目支援机制等），方案合理可行的得4分。</w:t>
            </w:r>
          </w:p>
        </w:tc>
        <w:tc>
          <w:tcPr>
            <w:tcW w:w="883" w:type="dxa"/>
            <w:tcBorders>
              <w:top w:val="single" w:color="auto" w:sz="4" w:space="0"/>
              <w:left w:val="single" w:color="000000" w:sz="4" w:space="0"/>
              <w:bottom w:val="single" w:color="000000" w:sz="4" w:space="0"/>
              <w:right w:val="single" w:color="000000" w:sz="4" w:space="0"/>
            </w:tcBorders>
            <w:vAlign w:val="center"/>
          </w:tcPr>
          <w:p w14:paraId="041F6235">
            <w:pPr>
              <w:widowControl/>
              <w:jc w:val="center"/>
              <w:rPr>
                <w:rFonts w:hint="eastAsia" w:ascii="宋体" w:hAnsi="宋体"/>
                <w:szCs w:val="21"/>
              </w:rPr>
            </w:pPr>
            <w:r>
              <w:rPr>
                <w:rFonts w:hint="eastAsia" w:ascii="宋体" w:hAnsi="宋体"/>
                <w:szCs w:val="21"/>
              </w:rPr>
              <w:t>10</w:t>
            </w:r>
          </w:p>
        </w:tc>
      </w:tr>
      <w:tr w14:paraId="027DB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jc w:val="center"/>
        </w:trPr>
        <w:tc>
          <w:tcPr>
            <w:tcW w:w="1433" w:type="dxa"/>
            <w:tcBorders>
              <w:left w:val="single" w:color="000000" w:sz="4" w:space="0"/>
              <w:right w:val="single" w:color="000000" w:sz="4" w:space="0"/>
            </w:tcBorders>
            <w:vAlign w:val="center"/>
          </w:tcPr>
          <w:p w14:paraId="06D92ACD">
            <w:pPr>
              <w:widowControl/>
              <w:jc w:val="center"/>
              <w:rPr>
                <w:rFonts w:hint="eastAsia" w:ascii="宋体" w:hAnsi="宋体"/>
                <w:szCs w:val="21"/>
              </w:rPr>
            </w:pPr>
          </w:p>
        </w:tc>
        <w:tc>
          <w:tcPr>
            <w:tcW w:w="1134" w:type="dxa"/>
            <w:tcBorders>
              <w:left w:val="single" w:color="000000" w:sz="4" w:space="0"/>
              <w:bottom w:val="single" w:color="000000" w:sz="4" w:space="0"/>
              <w:right w:val="single" w:color="000000" w:sz="4" w:space="0"/>
            </w:tcBorders>
            <w:vAlign w:val="center"/>
          </w:tcPr>
          <w:p w14:paraId="544BABD9">
            <w:pPr>
              <w:jc w:val="center"/>
              <w:rPr>
                <w:rFonts w:ascii="宋体"/>
                <w:szCs w:val="21"/>
              </w:rPr>
            </w:pPr>
            <w:r>
              <w:rPr>
                <w:rFonts w:hint="eastAsia" w:ascii="宋体"/>
                <w:szCs w:val="21"/>
              </w:rPr>
              <w:t>服务延伸与特色亮点（5分）</w:t>
            </w:r>
          </w:p>
        </w:tc>
        <w:tc>
          <w:tcPr>
            <w:tcW w:w="5906" w:type="dxa"/>
            <w:tcBorders>
              <w:top w:val="single" w:color="auto" w:sz="4" w:space="0"/>
              <w:left w:val="single" w:color="000000" w:sz="4" w:space="0"/>
              <w:bottom w:val="single" w:color="000000" w:sz="4" w:space="0"/>
              <w:right w:val="single" w:color="000000" w:sz="4" w:space="0"/>
            </w:tcBorders>
            <w:vAlign w:val="center"/>
          </w:tcPr>
          <w:p w14:paraId="760C9891">
            <w:pPr>
              <w:widowControl/>
              <w:rPr>
                <w:rFonts w:hint="eastAsia" w:ascii="宋体" w:hAnsi="宋体"/>
                <w:szCs w:val="21"/>
              </w:rPr>
            </w:pPr>
            <w:r>
              <w:rPr>
                <w:rFonts w:hint="eastAsia" w:ascii="宋体" w:hAnsi="宋体"/>
                <w:szCs w:val="21"/>
              </w:rPr>
              <w:t>针对本项目提出的“医康养护助”融合、智慧养老、旅居养老、居家服务延伸等特色亮点，提出切实可行的落地举措和资源对接方案。方案具有创新性、可操作性强，能体现投标人资源整合能力的得4-5分；一般得2-3.9分；较差得0-1.9分。</w:t>
            </w:r>
          </w:p>
        </w:tc>
        <w:tc>
          <w:tcPr>
            <w:tcW w:w="883" w:type="dxa"/>
            <w:tcBorders>
              <w:top w:val="single" w:color="auto" w:sz="4" w:space="0"/>
              <w:left w:val="single" w:color="000000" w:sz="4" w:space="0"/>
              <w:bottom w:val="single" w:color="000000" w:sz="4" w:space="0"/>
              <w:right w:val="single" w:color="000000" w:sz="4" w:space="0"/>
            </w:tcBorders>
            <w:vAlign w:val="center"/>
          </w:tcPr>
          <w:p w14:paraId="5C45F2BA">
            <w:pPr>
              <w:widowControl/>
              <w:jc w:val="center"/>
              <w:rPr>
                <w:rFonts w:hint="eastAsia" w:ascii="宋体" w:hAnsi="宋体"/>
                <w:szCs w:val="21"/>
              </w:rPr>
            </w:pPr>
            <w:r>
              <w:rPr>
                <w:rFonts w:hint="eastAsia" w:ascii="宋体" w:hAnsi="宋体"/>
                <w:szCs w:val="21"/>
              </w:rPr>
              <w:t>5</w:t>
            </w:r>
          </w:p>
        </w:tc>
      </w:tr>
      <w:tr w14:paraId="74D2D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8473" w:type="dxa"/>
            <w:gridSpan w:val="3"/>
            <w:tcBorders>
              <w:top w:val="single" w:color="000000" w:sz="4" w:space="0"/>
              <w:left w:val="single" w:color="000000" w:sz="4" w:space="0"/>
              <w:bottom w:val="single" w:color="000000" w:sz="4" w:space="0"/>
              <w:right w:val="single" w:color="000000" w:sz="4" w:space="0"/>
            </w:tcBorders>
            <w:vAlign w:val="center"/>
          </w:tcPr>
          <w:p w14:paraId="2B6568A0">
            <w:pPr>
              <w:widowControl/>
              <w:jc w:val="center"/>
              <w:rPr>
                <w:rFonts w:hint="eastAsia" w:ascii="宋体" w:hAnsi="宋体"/>
                <w:szCs w:val="21"/>
              </w:rPr>
            </w:pPr>
            <w:r>
              <w:rPr>
                <w:rFonts w:hint="eastAsia" w:ascii="宋体" w:hAnsi="宋体"/>
                <w:szCs w:val="21"/>
              </w:rPr>
              <w:t>合计</w:t>
            </w:r>
          </w:p>
        </w:tc>
        <w:tc>
          <w:tcPr>
            <w:tcW w:w="883" w:type="dxa"/>
            <w:tcBorders>
              <w:top w:val="single" w:color="000000" w:sz="4" w:space="0"/>
              <w:left w:val="single" w:color="000000" w:sz="4" w:space="0"/>
              <w:bottom w:val="single" w:color="000000" w:sz="4" w:space="0"/>
              <w:right w:val="single" w:color="000000" w:sz="4" w:space="0"/>
            </w:tcBorders>
            <w:vAlign w:val="center"/>
          </w:tcPr>
          <w:p w14:paraId="6C6B8B7B">
            <w:pPr>
              <w:widowControl/>
              <w:jc w:val="center"/>
              <w:rPr>
                <w:rFonts w:hint="eastAsia" w:ascii="宋体" w:hAnsi="宋体"/>
                <w:szCs w:val="21"/>
              </w:rPr>
            </w:pPr>
            <w:r>
              <w:rPr>
                <w:rFonts w:hint="eastAsia" w:ascii="宋体" w:hAnsi="宋体"/>
                <w:szCs w:val="21"/>
              </w:rPr>
              <w:t>100</w:t>
            </w:r>
          </w:p>
        </w:tc>
      </w:tr>
    </w:tbl>
    <w:p w14:paraId="1355B1FB">
      <w:pPr>
        <w:snapToGrid w:val="0"/>
        <w:spacing w:line="360" w:lineRule="auto"/>
        <w:jc w:val="both"/>
        <w:outlineLvl w:val="0"/>
        <w:rPr>
          <w:rFonts w:hint="eastAsia" w:ascii="宋体" w:hAnsi="宋体"/>
          <w:b/>
          <w:sz w:val="28"/>
          <w:szCs w:val="28"/>
        </w:rPr>
        <w:sectPr>
          <w:headerReference r:id="rId5" w:type="default"/>
          <w:footerReference r:id="rId6" w:type="default"/>
          <w:pgSz w:w="11906" w:h="16838"/>
          <w:pgMar w:top="1440" w:right="1466" w:bottom="1440" w:left="1320" w:header="851" w:footer="992" w:gutter="0"/>
          <w:pgNumType w:fmt="decimal" w:start="1"/>
          <w:cols w:space="0" w:num="1"/>
          <w:docGrid w:type="lines" w:linePitch="312" w:charSpace="0"/>
        </w:sectPr>
      </w:pPr>
    </w:p>
    <w:p w14:paraId="5999A620">
      <w:pPr>
        <w:snapToGrid w:val="0"/>
        <w:spacing w:line="360" w:lineRule="auto"/>
        <w:jc w:val="center"/>
        <w:outlineLvl w:val="0"/>
        <w:rPr>
          <w:rFonts w:hint="eastAsia" w:ascii="宋体" w:hAnsi="宋体"/>
          <w:b/>
          <w:sz w:val="28"/>
          <w:szCs w:val="28"/>
        </w:rPr>
      </w:pPr>
      <w:r>
        <w:rPr>
          <w:rFonts w:hint="eastAsia" w:ascii="宋体" w:hAnsi="宋体"/>
          <w:b/>
          <w:sz w:val="28"/>
          <w:szCs w:val="28"/>
        </w:rPr>
        <w:t>第四章  招标内容及需求</w:t>
      </w:r>
      <w:bookmarkEnd w:id="11"/>
    </w:p>
    <w:p w14:paraId="7686FF73">
      <w:pPr>
        <w:adjustRightInd w:val="0"/>
        <w:snapToGrid w:val="0"/>
        <w:spacing w:line="30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一、采购内容</w:t>
      </w:r>
    </w:p>
    <w:p w14:paraId="3402D936">
      <w:pPr>
        <w:adjustRightInd w:val="0"/>
        <w:snapToGrid w:val="0"/>
        <w:spacing w:line="300" w:lineRule="auto"/>
        <w:ind w:firstLine="420" w:firstLineChars="200"/>
        <w:rPr>
          <w:rFonts w:hint="eastAsia" w:ascii="宋体" w:hAnsi="宋体" w:cs="宋体"/>
          <w:color w:val="000000"/>
          <w:sz w:val="24"/>
        </w:rPr>
      </w:pPr>
      <w:r>
        <w:rPr>
          <w:rFonts w:hint="eastAsia" w:ascii="宋体" w:hAnsi="宋体" w:cs="宋体"/>
          <w:color w:val="000000"/>
          <w:szCs w:val="21"/>
        </w:rPr>
        <w:t>本次采购内容为浙江康复医院西溪院区康养中心护理服务项目，乙方需完全响应招标方需求</w:t>
      </w:r>
      <w:r>
        <w:rPr>
          <w:rFonts w:hint="eastAsia" w:ascii="宋体" w:hAnsi="宋体" w:cs="宋体"/>
          <w:color w:val="000000"/>
          <w:sz w:val="24"/>
        </w:rPr>
        <w:t>。</w:t>
      </w:r>
    </w:p>
    <w:p w14:paraId="6C53BEF6">
      <w:pPr>
        <w:numPr>
          <w:ilvl w:val="255"/>
          <w:numId w:val="0"/>
        </w:numPr>
        <w:adjustRightInd w:val="0"/>
        <w:snapToGrid w:val="0"/>
        <w:spacing w:line="300" w:lineRule="auto"/>
        <w:ind w:firstLine="482" w:firstLineChars="200"/>
        <w:rPr>
          <w:sz w:val="24"/>
          <w:szCs w:val="24"/>
        </w:rPr>
      </w:pPr>
      <w:r>
        <w:rPr>
          <w:rFonts w:hint="eastAsia" w:ascii="宋体" w:hAnsi="宋体" w:cs="宋体"/>
          <w:b/>
          <w:bCs/>
          <w:color w:val="000000"/>
          <w:sz w:val="24"/>
          <w:szCs w:val="24"/>
        </w:rPr>
        <w:t>二、招标要求</w:t>
      </w:r>
    </w:p>
    <w:p w14:paraId="63D1D51B">
      <w:pPr>
        <w:keepNext w:val="0"/>
        <w:keepLines w:val="0"/>
        <w:pageBreakBefore w:val="0"/>
        <w:widowControl w:val="0"/>
        <w:kinsoku/>
        <w:wordWrap/>
        <w:overflowPunct/>
        <w:topLinePunct w:val="0"/>
        <w:autoSpaceDE/>
        <w:autoSpaceDN/>
        <w:bidi w:val="0"/>
        <w:spacing w:line="360" w:lineRule="auto"/>
        <w:ind w:firstLine="632" w:firstLineChars="3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第一条  服务内容及需求人数</w:t>
      </w:r>
    </w:p>
    <w:p w14:paraId="03E962D3">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（一）照护服务内容</w:t>
      </w:r>
    </w:p>
    <w:p w14:paraId="2B80EF5A">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乙方应依据分级护理标准，按长者实际护理级别提供对应日常照护服务，服务内容包括但不限于清洁卫生、生活照料、精神慰藉、康乐活动、安全管理、协助就医、护理文书书写及甲方交办的其他工作，具体如下：</w:t>
      </w:r>
    </w:p>
    <w:p w14:paraId="0C6B1A1A">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清洁卫生服务：负责全院长者居住楼栋内环境清洁与消毒，涵盖长者居室、公共活动区域及设备用房，确保环境整洁、空气清新、卫生达标。</w:t>
      </w:r>
    </w:p>
    <w:p w14:paraId="03D51916">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生活照料服务：</w:t>
      </w:r>
    </w:p>
    <w:p w14:paraId="213018F7">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日常起居照料：协助长者起床、穿脱衣物、洗漱、梳理头发、剃须、修剪指甲（灰指甲除外），保持长者身体清洁与良好个人形象；协助长者做好睡前准备（如洗漱、更换睡衣），保障舒适入睡；定期更换床上用品、晒被擦席，协助长者整理房间、摆放物品；根据长者身体状况提供体位转移协助。</w:t>
      </w:r>
    </w:p>
    <w:p w14:paraId="4D3A8981">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饮食照料：提供点餐、送餐、食物微波炉加热、匀浆饮食制作及三餐后餐具清洁服务；协助长者进食，为无法自主进食的长者提供喂食或鼻饲服务。</w:t>
      </w:r>
    </w:p>
    <w:p w14:paraId="59BA0888">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排泄照料：协助长者如厕，为行动不便长者提供便盆、尿壶、床旁坐便椅等排泄辅助器具使用服务，做好便后处理及便器清洗消毒；定期为长者更换尿袋、尿不湿、尿垫等；观察长者排泄情况，异常时及时通知医护人员。</w:t>
      </w:r>
    </w:p>
    <w:p w14:paraId="50E62E1C">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洗漱照料：定期为长者提供洗澡、洗头、洗脸、洗脚、会阴清洁服务，为无法自主洗浴的长者提供擦浴；协助长者进行口腔清洁（如漱口、刷牙、口腔护理棒清洁等）。</w:t>
      </w:r>
    </w:p>
    <w:p w14:paraId="2983C6CF">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衣物送洗服务：收集、整理长者待洗衣物，统一送往洗衣房清洗后收回，或协助长者使用自助式洗衣设备。</w:t>
      </w:r>
    </w:p>
    <w:p w14:paraId="3F6EB67C">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缓和照护：为临终长者提供照护服务，减轻身体疼痛的同时关注心理感受；长者去世后，提供遗物整理服务。</w:t>
      </w:r>
    </w:p>
    <w:p w14:paraId="155B913C">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基础健康监测：定期为长者测量体温、血压，发现异常及时联系医务人员。</w:t>
      </w:r>
    </w:p>
    <w:p w14:paraId="74DF6AA2">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心理/精神支持服务：关注长者心理状态，及时发现并介入心理问题；与长者沟通交流、倾听心声，缓解孤独感与焦虑感；定期联系长者家属，搭建情感联结；鼓励长者参与志愿者活动，提升自我价值感。</w:t>
      </w:r>
    </w:p>
    <w:p w14:paraId="3A0ABFC3">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文化娱乐服务：</w:t>
      </w:r>
      <w:r>
        <w:rPr>
          <w:rFonts w:hint="eastAsia" w:ascii="宋体" w:hAnsi="宋体" w:cs="宋体"/>
          <w:sz w:val="21"/>
          <w:szCs w:val="21"/>
          <w:lang w:val="en-US" w:eastAsia="zh-CN"/>
        </w:rPr>
        <w:t>配合甲方，</w:t>
      </w:r>
      <w:r>
        <w:rPr>
          <w:rFonts w:hint="eastAsia" w:ascii="宋体" w:hAnsi="宋体" w:eastAsia="宋体" w:cs="宋体"/>
          <w:sz w:val="21"/>
          <w:szCs w:val="21"/>
        </w:rPr>
        <w:t>定期组织长者参与文化娱乐活动，丰富精神生活；按楼层开展手指操、手工、唱歌、棋牌、趣味游戏等适宜长者的活动。</w:t>
      </w:r>
    </w:p>
    <w:p w14:paraId="496B7FDE">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安全管理服务：按甲方要求护理员每2小时巡视长者房间及楼层，关注长者身心状态，及时处理异常情况；定期检查长者食品、药品，协助处理过期变质物品；根据护理等级提供协助服药、院内代配药服务；熟练掌握《养老机构服务安全基本规范》中意外事件防范及处理流程；协调拼房长者矛盾，促进和谐相处；落实消防安全工作，定期组织护理员消防安全培训，确保所有工作人员熟练使用消防设施设备、掌握应急疏散救援流程。</w:t>
      </w:r>
    </w:p>
    <w:p w14:paraId="3C15544C">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日常管理服务：甲方为长者办理请假、销假手续，乙方协助甲方做好请假期间情况跟进；对重点长者加强关注，做好相关记录，异常情况及时汇报处理。</w:t>
      </w:r>
    </w:p>
    <w:p w14:paraId="194FA9A0">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协助就医服务：根据长者需求提供陪同就医、院内康复接送、陪同输液等服务。</w:t>
      </w:r>
    </w:p>
    <w:p w14:paraId="202B1394">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护理文书管理：按甲方规范及时、准确记录护理文书，确保数据真实、档案完整，不得凭空捏造相关记录，不得主观而为之，如有违反3次以上，甲方可酌情对乙方进行处罚</w:t>
      </w:r>
      <w:r>
        <w:rPr>
          <w:rFonts w:hint="eastAsia" w:ascii="宋体" w:hAnsi="宋体" w:cs="宋体"/>
          <w:sz w:val="21"/>
          <w:szCs w:val="21"/>
          <w:lang w:eastAsia="zh-CN"/>
        </w:rPr>
        <w:t>。</w:t>
      </w:r>
      <w:r>
        <w:rPr>
          <w:rFonts w:hint="eastAsia" w:ascii="宋体" w:hAnsi="宋体" w:eastAsia="宋体" w:cs="宋体"/>
          <w:sz w:val="21"/>
          <w:szCs w:val="21"/>
        </w:rPr>
        <w:t>未经允许乙方护理员不得翻阅康养人员的档案资料。</w:t>
      </w:r>
    </w:p>
    <w:p w14:paraId="2F9ACDF0">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技能提升要求：乙方每年组织1次养老护理员技能竞赛，以赛促学提升服务水平。</w:t>
      </w:r>
    </w:p>
    <w:p w14:paraId="60DB3A5D">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其他工作：配合甲方开展日常活动、处理突发意外事件等其他交办工作。</w:t>
      </w:r>
    </w:p>
    <w:p w14:paraId="555AFB3E">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（二）护理服务要求</w:t>
      </w:r>
    </w:p>
    <w:p w14:paraId="1E656439">
      <w:pPr>
        <w:pStyle w:val="2"/>
        <w:keepNext w:val="0"/>
        <w:keepLines w:val="0"/>
        <w:pageBreakBefore w:val="0"/>
        <w:widowControl w:val="0"/>
        <w:kinsoku/>
        <w:wordWrap/>
        <w:overflowPunct/>
        <w:topLinePunct w:val="0"/>
        <w:autoSpaceDE/>
        <w:autoSpaceDN/>
        <w:bidi w:val="0"/>
        <w:spacing w:line="36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rPr>
        <w:t>1. 通用服务要求</w:t>
      </w:r>
    </w:p>
    <w:p w14:paraId="32C2AB5C">
      <w:pPr>
        <w:pStyle w:val="2"/>
        <w:keepNext w:val="0"/>
        <w:keepLines w:val="0"/>
        <w:pageBreakBefore w:val="0"/>
        <w:widowControl w:val="0"/>
        <w:kinsoku/>
        <w:wordWrap/>
        <w:overflowPunct/>
        <w:topLinePunct w:val="0"/>
        <w:autoSpaceDE/>
        <w:autoSpaceDN/>
        <w:bidi w:val="0"/>
        <w:spacing w:line="36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rPr>
        <w:t>1.1 发生重大自然灾害、事故灾难、传染病流行或其他意外情况时，乙方须服从甲方统一调遣，全力配合应急处置工作。</w:t>
      </w:r>
    </w:p>
    <w:p w14:paraId="7134BB4A">
      <w:pPr>
        <w:pStyle w:val="2"/>
        <w:keepNext w:val="0"/>
        <w:keepLines w:val="0"/>
        <w:pageBreakBefore w:val="0"/>
        <w:widowControl w:val="0"/>
        <w:kinsoku/>
        <w:wordWrap/>
        <w:overflowPunct/>
        <w:topLinePunct w:val="0"/>
        <w:autoSpaceDE/>
        <w:autoSpaceDN/>
        <w:bidi w:val="0"/>
        <w:spacing w:line="36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rPr>
        <w:t>1.2 乙方不得在服务场所内开展宗教活动、产品销售等与长者照护无关的活动。</w:t>
      </w:r>
    </w:p>
    <w:p w14:paraId="0F02020B">
      <w:pPr>
        <w:pStyle w:val="2"/>
        <w:keepNext w:val="0"/>
        <w:keepLines w:val="0"/>
        <w:pageBreakBefore w:val="0"/>
        <w:widowControl w:val="0"/>
        <w:kinsoku/>
        <w:wordWrap/>
        <w:overflowPunct/>
        <w:topLinePunct w:val="0"/>
        <w:autoSpaceDE/>
        <w:autoSpaceDN/>
        <w:bidi w:val="0"/>
        <w:spacing w:line="36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rPr>
        <w:t>1.3 若甲方因特殊情况采取封闭或半封闭管理，乙方须严格遵守管理规定，安排专人驻院负责相关工作，保障照护服务正常开展。</w:t>
      </w:r>
    </w:p>
    <w:p w14:paraId="5B1512B9">
      <w:pPr>
        <w:pStyle w:val="2"/>
        <w:keepNext w:val="0"/>
        <w:keepLines w:val="0"/>
        <w:pageBreakBefore w:val="0"/>
        <w:widowControl w:val="0"/>
        <w:kinsoku/>
        <w:wordWrap/>
        <w:overflowPunct/>
        <w:topLinePunct w:val="0"/>
        <w:autoSpaceDE/>
        <w:autoSpaceDN/>
        <w:bidi w:val="0"/>
        <w:spacing w:line="36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rPr>
        <w:t>1.4 乙方应制定具体的质量保证措施、服务承诺及应急预案，所有工作除按内部流程执行外，须接受甲方或第三方随时检查。若服务质量未达约定标准，甲方有权要求限期整改，乙方须承担相应责任及经济赔偿。</w:t>
      </w:r>
    </w:p>
    <w:p w14:paraId="527C1BEC">
      <w:pPr>
        <w:pStyle w:val="2"/>
        <w:keepNext w:val="0"/>
        <w:keepLines w:val="0"/>
        <w:pageBreakBefore w:val="0"/>
        <w:widowControl w:val="0"/>
        <w:kinsoku/>
        <w:wordWrap/>
        <w:overflowPunct/>
        <w:topLinePunct w:val="0"/>
        <w:autoSpaceDE/>
        <w:autoSpaceDN/>
        <w:bidi w:val="0"/>
        <w:spacing w:line="36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rPr>
        <w:t>1.5 甲方采取 “日常抽查 + 每月实地检查” 方式考核服务质量：</w:t>
      </w:r>
    </w:p>
    <w:p w14:paraId="7E4808F8">
      <w:pPr>
        <w:pStyle w:val="2"/>
        <w:keepNext w:val="0"/>
        <w:keepLines w:val="0"/>
        <w:pageBreakBefore w:val="0"/>
        <w:widowControl w:val="0"/>
        <w:kinsoku/>
        <w:wordWrap/>
        <w:overflowPunct/>
        <w:topLinePunct w:val="0"/>
        <w:autoSpaceDE/>
        <w:autoSpaceDN/>
        <w:bidi w:val="0"/>
        <w:spacing w:line="36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rPr>
        <w:t>日常不定期抽查：贯穿服务全过程，记录实时服务情况；每月1次实地检查：对照考核标准全面核查；乙方须在收到整改意见后5个工作日内反馈整改方案及时限。</w:t>
      </w:r>
    </w:p>
    <w:p w14:paraId="2C8D02F0">
      <w:pPr>
        <w:pStyle w:val="2"/>
        <w:keepNext w:val="0"/>
        <w:keepLines w:val="0"/>
        <w:pageBreakBefore w:val="0"/>
        <w:widowControl w:val="0"/>
        <w:kinsoku/>
        <w:wordWrap/>
        <w:overflowPunct/>
        <w:topLinePunct w:val="0"/>
        <w:autoSpaceDE/>
        <w:autoSpaceDN/>
        <w:bidi w:val="0"/>
        <w:spacing w:line="36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rPr>
        <w:t>1.6 乙方可在不降低护理质量的前提下，对护理方案进行合理优化，但须提前 3 个工作日向甲方提交书面报备材料，经甲方同意后实施。</w:t>
      </w:r>
    </w:p>
    <w:p w14:paraId="38B679F2">
      <w:pPr>
        <w:pStyle w:val="2"/>
        <w:keepNext w:val="0"/>
        <w:keepLines w:val="0"/>
        <w:pageBreakBefore w:val="0"/>
        <w:widowControl w:val="0"/>
        <w:kinsoku/>
        <w:wordWrap/>
        <w:overflowPunct/>
        <w:topLinePunct w:val="0"/>
        <w:autoSpaceDE/>
        <w:autoSpaceDN/>
        <w:bidi w:val="0"/>
        <w:spacing w:line="36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rPr>
        <w:t>1.7甲方有权管理和监督乙方专业护理员的工作，对乙方的专业护理员及其他服务人员有管理和安排的权利，对不合格的护理员及其他服务人员有权要求乙方及时更换，对于不服从管理、恶意破坏甲方声誉者，有权清退；造成甲方人员或财产损失的，乙方应予赔偿。</w:t>
      </w:r>
    </w:p>
    <w:p w14:paraId="4B70FAB3">
      <w:pPr>
        <w:pStyle w:val="2"/>
        <w:keepNext w:val="0"/>
        <w:keepLines w:val="0"/>
        <w:pageBreakBefore w:val="0"/>
        <w:widowControl w:val="0"/>
        <w:kinsoku/>
        <w:wordWrap/>
        <w:overflowPunct/>
        <w:topLinePunct w:val="0"/>
        <w:autoSpaceDE/>
        <w:autoSpaceDN/>
        <w:bidi w:val="0"/>
        <w:spacing w:line="36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rPr>
        <w:t>1.8</w:t>
      </w:r>
      <w:r>
        <w:rPr>
          <w:rFonts w:hint="eastAsia" w:ascii="宋体" w:hAnsi="宋体" w:cs="宋体"/>
          <w:sz w:val="21"/>
          <w:szCs w:val="21"/>
          <w:lang w:val="en-US" w:eastAsia="zh-CN"/>
        </w:rPr>
        <w:t xml:space="preserve">  </w:t>
      </w:r>
      <w:r>
        <w:rPr>
          <w:rFonts w:hint="eastAsia" w:ascii="宋体" w:hAnsi="宋体" w:eastAsia="宋体" w:cs="宋体"/>
          <w:sz w:val="21"/>
          <w:szCs w:val="21"/>
        </w:rPr>
        <w:t>甲方有权对乙方在合作期间不规范的服务进行阻止，情节严重的可即时要求乙方服务人员离开甲方场所（不规范行为的情形由双方另行以书面形式备案）。</w:t>
      </w:r>
    </w:p>
    <w:p w14:paraId="484E914C">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 人员配备与管理要求</w:t>
      </w:r>
    </w:p>
    <w:p w14:paraId="0928FC8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 人员配置标准：在本协议期内，乙方至少无条件为康养中心配置专职项目主管1</w:t>
      </w:r>
      <w:r>
        <w:rPr>
          <w:rFonts w:hint="eastAsia" w:ascii="宋体" w:hAnsi="宋体" w:cs="宋体"/>
          <w:sz w:val="21"/>
          <w:szCs w:val="21"/>
          <w:lang w:val="en-US" w:eastAsia="zh-CN"/>
        </w:rPr>
        <w:t>-2</w:t>
      </w:r>
      <w:r>
        <w:rPr>
          <w:rFonts w:hint="eastAsia" w:ascii="宋体" w:hAnsi="宋体" w:eastAsia="宋体" w:cs="宋体"/>
          <w:sz w:val="21"/>
          <w:szCs w:val="21"/>
        </w:rPr>
        <w:t>名。甲方需要新增护理员时，乙方应在规定时间内按照要求护理员到岗：在甲方与乙方有预约时，乙方须在48小时内安排护理员到位；甲方与乙方无预约时，乙方接到甲方通知后须在72小时内安排护理员到位。</w:t>
      </w:r>
    </w:p>
    <w:p w14:paraId="046BD049">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 人员稳定性管理：乙方应保障服务团队稳定，如需调整人员，须提前3个工作日向甲方提交书面报备材料（含调整原因、新</w:t>
      </w:r>
      <w:r>
        <w:rPr>
          <w:rFonts w:hint="eastAsia" w:ascii="宋体" w:hAnsi="宋体" w:cs="宋体"/>
          <w:sz w:val="21"/>
          <w:szCs w:val="21"/>
          <w:lang w:eastAsia="zh-CN"/>
        </w:rPr>
        <w:t>进</w:t>
      </w:r>
      <w:r>
        <w:rPr>
          <w:rFonts w:hint="eastAsia" w:ascii="宋体" w:hAnsi="宋体" w:eastAsia="宋体" w:cs="宋体"/>
          <w:sz w:val="21"/>
          <w:szCs w:val="21"/>
        </w:rPr>
        <w:t>人员资质证明等），经甲方同意后方可调整；若甲方对服务团队成员工作表现不满意，乙方须</w:t>
      </w:r>
      <w:r>
        <w:rPr>
          <w:rFonts w:hint="eastAsia" w:ascii="宋体" w:hAnsi="宋体" w:eastAsia="宋体" w:cs="宋体"/>
          <w:sz w:val="21"/>
          <w:szCs w:val="21"/>
          <w:highlight w:val="none"/>
        </w:rPr>
        <w:t>在</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个工作日内配</w:t>
      </w:r>
      <w:r>
        <w:rPr>
          <w:rFonts w:hint="eastAsia" w:ascii="宋体" w:hAnsi="宋体" w:eastAsia="宋体" w:cs="宋体"/>
          <w:sz w:val="21"/>
          <w:szCs w:val="21"/>
        </w:rPr>
        <w:t>合更换合适人员。要确保护理员员工稳定，流失率不得高于10%。</w:t>
      </w:r>
    </w:p>
    <w:p w14:paraId="372237D1">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2.3 健康资质要求：新员工入职前须提供3个月内的入职体检报告，存在以下情况者不得入职：</w:t>
      </w:r>
    </w:p>
    <w:p w14:paraId="36C428B7">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传染病活动期：肺结核（活动期，非陈旧性钙化灶）、甲型 / 戊型肝炎（急性期）、梅毒、淋病、艾滋病、肠道传染病、传染性皮肤病（如脓疱疮、传染性湿疹）等；</w:t>
      </w:r>
    </w:p>
    <w:p w14:paraId="1E5ABB84">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严重心脑血管疾病：器质性心脏病（如风湿性心脏病、冠心病）、未控制的高血压（≥160/100mmHg）、严重心律失常、重度贫血、心肌缺血等；</w:t>
      </w:r>
    </w:p>
    <w:p w14:paraId="19D871ED">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精神/神经系统疾病：精神分裂症、双相情感障碍等精神病史、癫痫（含治愈期）、药物或酒精依赖等；</w:t>
      </w:r>
    </w:p>
    <w:p w14:paraId="1F9742B4">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重要脏器功能衰竭：肝功能衰竭、肝硬化失代偿期、肾功能不全（肌酐＞442μmol/L）等；</w:t>
      </w:r>
    </w:p>
    <w:p w14:paraId="08E6B050">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其他妨碍履行养老服务职责的疾病或生理缺陷。</w:t>
      </w:r>
    </w:p>
    <w:p w14:paraId="15069407">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2.4 人员审查要求：乙方须对服务团队成员进行审查，确保其无犯罪记录、并留存审查证明材料备查。</w:t>
      </w:r>
    </w:p>
    <w:p w14:paraId="38699567">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2.5 职业规范要求：服务期间，所有成员按岗位要求统一着装（服装整洁规范、符合养老服务场景），言行文明礼貌、恪守职业操守，维护服务秩序与单位形象。</w:t>
      </w:r>
    </w:p>
    <w:p w14:paraId="4595677C">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2.6 薪资保障要求：为保持护理队伍稳定，乙方须</w:t>
      </w:r>
      <w:r>
        <w:rPr>
          <w:rFonts w:hint="eastAsia" w:ascii="宋体" w:hAnsi="宋体" w:cs="宋体"/>
          <w:sz w:val="21"/>
          <w:szCs w:val="21"/>
          <w:lang w:eastAsia="zh-CN"/>
        </w:rPr>
        <w:t>按照甲方规定</w:t>
      </w:r>
      <w:r>
        <w:rPr>
          <w:rFonts w:hint="eastAsia" w:ascii="宋体" w:hAnsi="宋体" w:eastAsia="宋体" w:cs="宋体"/>
          <w:sz w:val="21"/>
          <w:szCs w:val="21"/>
        </w:rPr>
        <w:t>保障人员薪资待遇体系的延续性，现场勘察时应当了解目前项目薪资福利体系。</w:t>
      </w:r>
    </w:p>
    <w:p w14:paraId="0FAFDC70">
      <w:pPr>
        <w:pStyle w:val="2"/>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（三）服务质量考核标准（见附件1）</w:t>
      </w:r>
    </w:p>
    <w:p w14:paraId="68A866BD">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1.服务态度考核</w:t>
      </w:r>
    </w:p>
    <w:p w14:paraId="1F7A4764">
      <w:pPr>
        <w:pStyle w:val="2"/>
        <w:keepNext w:val="0"/>
        <w:keepLines w:val="0"/>
        <w:pageBreakBefore w:val="0"/>
        <w:widowControl w:val="0"/>
        <w:kinsoku/>
        <w:wordWrap/>
        <w:overflowPunct/>
        <w:topLinePunct w:val="0"/>
        <w:autoSpaceDE/>
        <w:autoSpaceDN/>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   核心要求：尊重长者、语言文明、举止端庄、技能专业娴熟、服务热情周到，与同事和谐相处。</w:t>
      </w:r>
    </w:p>
    <w:p w14:paraId="31117BEE">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1.1工作人员在院区室内吸烟，每例扣除当月合同款 500 元；</w:t>
      </w:r>
    </w:p>
    <w:p w14:paraId="06CC2092">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1.2克扣长者物资、吃拿长者财物的，须全额归还财物或等价金额，并处500-2000元/例罚款（情节轻微扣500元，情节一般扣1000元，情节严重扣2000元）；</w:t>
      </w:r>
    </w:p>
    <w:p w14:paraId="600A42F9">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1.3辱骂、殴打长者的，一经查实，按情节轻重处2000-10000元/次罚款（辱骂扣2000-5000元，殴打扣5000-10000元），同时立即辞退肇事人员，承担相应法律责任。</w:t>
      </w:r>
    </w:p>
    <w:p w14:paraId="04B844AB">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2.服务满意率考核：</w:t>
      </w:r>
    </w:p>
    <w:p w14:paraId="2C2F116A">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甲方定期组织长者及家属满意度测评，服务满意率须达到90%及以上；若未达标，每低1个百分点扣除当月合同款1000元，连续两次满意度未达标的，甲方有权要求整改或解除合同</w:t>
      </w:r>
      <w:r>
        <w:rPr>
          <w:rFonts w:hint="eastAsia" w:ascii="宋体" w:hAnsi="宋体" w:cs="宋体"/>
          <w:sz w:val="21"/>
          <w:szCs w:val="21"/>
          <w:lang w:eastAsia="zh-CN"/>
        </w:rPr>
        <w:t>，</w:t>
      </w:r>
      <w:r>
        <w:rPr>
          <w:rFonts w:hint="eastAsia" w:ascii="宋体" w:hAnsi="宋体" w:eastAsia="宋体" w:cs="宋体"/>
          <w:sz w:val="21"/>
          <w:szCs w:val="21"/>
        </w:rPr>
        <w:t>乙方单月服务对象的满意率低于80%（以甲方调查为准），或者连续3月服务对象的满意率不足80%</w:t>
      </w:r>
      <w:r>
        <w:rPr>
          <w:rFonts w:hint="eastAsia" w:ascii="宋体" w:hAnsi="宋体" w:cs="宋体"/>
          <w:sz w:val="21"/>
          <w:szCs w:val="21"/>
          <w:lang w:eastAsia="zh-CN"/>
        </w:rPr>
        <w:t>，</w:t>
      </w:r>
      <w:r>
        <w:rPr>
          <w:rFonts w:hint="eastAsia" w:ascii="宋体" w:hAnsi="宋体" w:eastAsia="宋体" w:cs="宋体"/>
          <w:sz w:val="21"/>
          <w:szCs w:val="21"/>
        </w:rPr>
        <w:t>甲方</w:t>
      </w:r>
      <w:r>
        <w:rPr>
          <w:rFonts w:hint="eastAsia" w:ascii="宋体" w:hAnsi="宋体" w:cs="宋体"/>
          <w:sz w:val="21"/>
          <w:szCs w:val="21"/>
          <w:lang w:val="en-US" w:eastAsia="zh-CN"/>
        </w:rPr>
        <w:t>可随时</w:t>
      </w:r>
      <w:r>
        <w:rPr>
          <w:rFonts w:hint="eastAsia" w:ascii="宋体" w:hAnsi="宋体" w:eastAsia="宋体" w:cs="宋体"/>
          <w:sz w:val="21"/>
          <w:szCs w:val="21"/>
        </w:rPr>
        <w:t>解除合同。</w:t>
      </w:r>
    </w:p>
    <w:p w14:paraId="24BBD950">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3.护理安全考核</w:t>
      </w:r>
    </w:p>
    <w:p w14:paraId="558CA8AE">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3.1 责任界定：因乙方服务不到位、操作差错导致长者发生意外事件或纠纷索赔的，由乙方承担全部责任及相关费用（养老机构责任险涵盖赔偿部分除外），甲方不承担任何连带责任。</w:t>
      </w:r>
      <w:r>
        <w:rPr>
          <w:rFonts w:hint="eastAsia" w:ascii="宋体" w:hAnsi="宋体" w:eastAsia="宋体" w:cs="宋体"/>
          <w:sz w:val="21"/>
          <w:szCs w:val="21"/>
          <w:highlight w:val="none"/>
        </w:rPr>
        <w:t>无法界定责任的，双方按照责任比例承担法律责任，乙方承担70%，甲方承担30%。乙方护理员发生人身伤</w:t>
      </w:r>
      <w:r>
        <w:rPr>
          <w:rFonts w:hint="eastAsia" w:ascii="宋体" w:hAnsi="宋体" w:eastAsia="宋体" w:cs="宋体"/>
          <w:sz w:val="21"/>
          <w:szCs w:val="21"/>
        </w:rPr>
        <w:t>害、财产损失、工伤，由乙方承担法律责任和经济赔偿，甲方不承担责任。乙方应</w:t>
      </w:r>
      <w:r>
        <w:rPr>
          <w:rFonts w:hint="eastAsia" w:ascii="宋体" w:hAnsi="宋体" w:cs="宋体"/>
          <w:sz w:val="21"/>
          <w:szCs w:val="21"/>
          <w:lang w:eastAsia="zh-CN"/>
        </w:rPr>
        <w:t>积极</w:t>
      </w:r>
      <w:r>
        <w:rPr>
          <w:rFonts w:hint="eastAsia" w:ascii="宋体" w:hAnsi="宋体" w:eastAsia="宋体" w:cs="宋体"/>
          <w:sz w:val="21"/>
          <w:szCs w:val="21"/>
        </w:rPr>
        <w:t>处理护理员与康养人员的纠纷，不得由此对甲方产生影响。</w:t>
      </w:r>
    </w:p>
    <w:p w14:paraId="102FF427">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3.2 处罚条款：</w:t>
      </w:r>
    </w:p>
    <w:p w14:paraId="1AB646F3">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因护理不当导致长者食物误食的，乙方承担全部医疗费及赔偿责任，并每例扣除当月项目管理费1000-5000元/例罚款（轻微误食扣1000-2000元，造成健康影响扣2000-5000元）。</w:t>
      </w:r>
    </w:p>
    <w:p w14:paraId="5DCC9664">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因护理不当导致长者烫伤、冻伤、损伤、坠床、跌倒、噎食、走失等，造成轻微后果的每例扣除当月项目管理费1000-3000元/例，造成一般后果的扣3000-6000元/例，造成严重后果的扣6000-10000元/例；</w:t>
      </w:r>
    </w:p>
    <w:p w14:paraId="0CB26A6D">
      <w:pPr>
        <w:pStyle w:val="2"/>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发生重大安全责任事故（如长者重伤、死亡等），重伤的每例扣除当月项目管理费 5000-20000 元，死亡的乙方承担全部赔偿责任。</w:t>
      </w:r>
    </w:p>
    <w:p w14:paraId="33A980E2">
      <w:pPr>
        <w:pStyle w:val="2"/>
        <w:keepNext w:val="0"/>
        <w:keepLines w:val="0"/>
        <w:pageBreakBefore w:val="0"/>
        <w:widowControl w:val="0"/>
        <w:kinsoku/>
        <w:wordWrap/>
        <w:overflowPunct/>
        <w:topLinePunct w:val="0"/>
        <w:autoSpaceDE/>
        <w:autoSpaceDN/>
        <w:bidi w:val="0"/>
        <w:spacing w:line="360" w:lineRule="auto"/>
        <w:ind w:firstLine="180"/>
        <w:textAlignment w:val="auto"/>
        <w:rPr>
          <w:rFonts w:hint="eastAsia" w:ascii="宋体" w:hAnsi="宋体" w:eastAsia="宋体" w:cs="宋体"/>
          <w:sz w:val="21"/>
          <w:szCs w:val="21"/>
        </w:rPr>
      </w:pPr>
      <w:r>
        <w:rPr>
          <w:rFonts w:hint="eastAsia" w:ascii="宋体" w:hAnsi="宋体" w:eastAsia="宋体" w:cs="宋体"/>
          <w:sz w:val="21"/>
          <w:szCs w:val="21"/>
        </w:rPr>
        <w:t>3.3 考核实施方式</w:t>
      </w:r>
    </w:p>
    <w:p w14:paraId="08C23B2B">
      <w:pPr>
        <w:pStyle w:val="2"/>
        <w:keepNext w:val="0"/>
        <w:keepLines w:val="0"/>
        <w:pageBreakBefore w:val="0"/>
        <w:widowControl w:val="0"/>
        <w:kinsoku/>
        <w:wordWrap/>
        <w:overflowPunct/>
        <w:topLinePunct w:val="0"/>
        <w:autoSpaceDE/>
        <w:autoSpaceDN/>
        <w:bidi w:val="0"/>
        <w:spacing w:line="360" w:lineRule="auto"/>
        <w:ind w:firstLine="180"/>
        <w:textAlignment w:val="auto"/>
        <w:rPr>
          <w:rFonts w:hint="eastAsia" w:ascii="宋体" w:hAnsi="宋体" w:eastAsia="宋体" w:cs="宋体"/>
          <w:sz w:val="21"/>
          <w:szCs w:val="21"/>
        </w:rPr>
      </w:pPr>
      <w:r>
        <w:rPr>
          <w:rFonts w:hint="eastAsia" w:ascii="宋体" w:hAnsi="宋体" w:eastAsia="宋体" w:cs="宋体"/>
          <w:sz w:val="21"/>
          <w:szCs w:val="21"/>
        </w:rPr>
        <w:t>考核权重：每月定期检查结果占当月考核总分的40%，日常不定期抽查结果占60%；</w:t>
      </w:r>
    </w:p>
    <w:p w14:paraId="1E6484AA">
      <w:pPr>
        <w:pStyle w:val="2"/>
        <w:keepNext w:val="0"/>
        <w:keepLines w:val="0"/>
        <w:pageBreakBefore w:val="0"/>
        <w:widowControl w:val="0"/>
        <w:kinsoku/>
        <w:wordWrap/>
        <w:overflowPunct/>
        <w:topLinePunct w:val="0"/>
        <w:autoSpaceDE/>
        <w:autoSpaceDN/>
        <w:bidi w:val="0"/>
        <w:spacing w:line="360" w:lineRule="auto"/>
        <w:ind w:firstLine="180"/>
        <w:textAlignment w:val="auto"/>
        <w:rPr>
          <w:rFonts w:hint="eastAsia" w:ascii="宋体" w:hAnsi="宋体" w:eastAsia="宋体" w:cs="宋体"/>
          <w:sz w:val="21"/>
          <w:szCs w:val="21"/>
        </w:rPr>
      </w:pPr>
      <w:r>
        <w:rPr>
          <w:rFonts w:hint="eastAsia" w:ascii="宋体" w:hAnsi="宋体" w:eastAsia="宋体" w:cs="宋体"/>
          <w:sz w:val="21"/>
          <w:szCs w:val="21"/>
        </w:rPr>
        <w:t>4、责任与保障条款</w:t>
      </w:r>
    </w:p>
    <w:p w14:paraId="11422F66">
      <w:pPr>
        <w:pStyle w:val="2"/>
        <w:keepNext w:val="0"/>
        <w:keepLines w:val="0"/>
        <w:pageBreakBefore w:val="0"/>
        <w:widowControl w:val="0"/>
        <w:kinsoku/>
        <w:wordWrap/>
        <w:overflowPunct/>
        <w:topLinePunct w:val="0"/>
        <w:autoSpaceDE/>
        <w:autoSpaceDN/>
        <w:bidi w:val="0"/>
        <w:spacing w:line="360" w:lineRule="auto"/>
        <w:ind w:firstLine="180"/>
        <w:textAlignment w:val="auto"/>
        <w:rPr>
          <w:rFonts w:hint="eastAsia" w:ascii="宋体" w:hAnsi="宋体" w:eastAsia="宋体" w:cs="宋体"/>
          <w:sz w:val="21"/>
          <w:szCs w:val="21"/>
        </w:rPr>
      </w:pPr>
      <w:r>
        <w:rPr>
          <w:rFonts w:hint="eastAsia" w:ascii="宋体" w:hAnsi="宋体" w:eastAsia="宋体" w:cs="宋体"/>
          <w:sz w:val="21"/>
          <w:szCs w:val="21"/>
        </w:rPr>
        <w:t>4.1 员工人身意外责任：项目服务期内，乙方工作人员发生人身意外、工伤等事故，由乙方承担全部责任及相关费用，甲方不承担任何赔偿或连带责任。</w:t>
      </w:r>
    </w:p>
    <w:p w14:paraId="33211407">
      <w:pPr>
        <w:pStyle w:val="2"/>
        <w:keepNext w:val="0"/>
        <w:keepLines w:val="0"/>
        <w:pageBreakBefore w:val="0"/>
        <w:widowControl w:val="0"/>
        <w:kinsoku/>
        <w:wordWrap/>
        <w:overflowPunct/>
        <w:topLinePunct w:val="0"/>
        <w:autoSpaceDE/>
        <w:autoSpaceDN/>
        <w:bidi w:val="0"/>
        <w:spacing w:line="360" w:lineRule="auto"/>
        <w:ind w:firstLine="180"/>
        <w:textAlignment w:val="auto"/>
        <w:rPr>
          <w:rFonts w:hint="eastAsia" w:ascii="宋体" w:hAnsi="宋体" w:eastAsia="宋体" w:cs="宋体"/>
          <w:sz w:val="21"/>
          <w:szCs w:val="21"/>
          <w:highlight w:val="none"/>
        </w:rPr>
      </w:pPr>
      <w:r>
        <w:rPr>
          <w:rFonts w:hint="eastAsia" w:ascii="宋体" w:hAnsi="宋体" w:eastAsia="宋体" w:cs="宋体"/>
          <w:sz w:val="21"/>
          <w:szCs w:val="21"/>
        </w:rPr>
        <w:t>4.2 社会保险责任：乙方须严格按照《中华人民共和国劳动合同法》及政府相关规定，</w:t>
      </w:r>
      <w:r>
        <w:rPr>
          <w:rFonts w:hint="eastAsia" w:ascii="宋体" w:hAnsi="宋体" w:cs="宋体"/>
          <w:sz w:val="21"/>
          <w:szCs w:val="21"/>
          <w:highlight w:val="none"/>
          <w:lang w:eastAsia="zh-CN"/>
        </w:rPr>
        <w:t>根据甲方要求</w:t>
      </w:r>
      <w:r>
        <w:rPr>
          <w:rFonts w:hint="eastAsia" w:ascii="宋体" w:hAnsi="宋体" w:eastAsia="宋体" w:cs="宋体"/>
          <w:sz w:val="21"/>
          <w:szCs w:val="21"/>
          <w:highlight w:val="none"/>
        </w:rPr>
        <w:t>为全体服务人员缴纳社会保险及其他法定费用，确保用工合规，承担全部相关责任。</w:t>
      </w:r>
    </w:p>
    <w:p w14:paraId="170A1E52">
      <w:pPr>
        <w:pStyle w:val="4"/>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三、人员岗位资格和工作要求</w:t>
      </w:r>
    </w:p>
    <w:p w14:paraId="7A39F817">
      <w:pPr>
        <w:pStyle w:val="4"/>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（一）人员岗位资格要求</w:t>
      </w:r>
    </w:p>
    <w:p w14:paraId="27D9BA28">
      <w:pPr>
        <w:pStyle w:val="4"/>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1.项目主管：大专及以上学历，具备以下任一相关专业背景：医疗、护理、康复类；教育、心理类；老年服务与管理、社会工作类；</w:t>
      </w:r>
      <w:r>
        <w:rPr>
          <w:rFonts w:hint="eastAsia" w:ascii="宋体" w:hAnsi="宋体" w:eastAsia="宋体" w:cs="宋体"/>
          <w:sz w:val="21"/>
          <w:szCs w:val="21"/>
          <w:highlight w:val="none"/>
          <w:lang w:val="en-US" w:eastAsia="zh-CN"/>
        </w:rPr>
        <w:t>同时具有高级养老护理员或护理学初级及以上职称，且具有3年以上养老机构管理经验的，年龄 45周岁及以下；有很强的组织领导管理能力；有很强的突发事件应急处理能力、沟通协调能力和业务指导能力；有业务拓展，外联业务能力。</w:t>
      </w:r>
    </w:p>
    <w:p w14:paraId="2E442EDF">
      <w:pPr>
        <w:pStyle w:val="4"/>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2.养老护理员：新入职养老护理员须经岗前培训合格后方可上岗</w:t>
      </w:r>
      <w:r>
        <w:rPr>
          <w:rFonts w:hint="eastAsia" w:ascii="宋体" w:hAnsi="宋体" w:cs="宋体"/>
          <w:sz w:val="21"/>
          <w:szCs w:val="21"/>
          <w:lang w:eastAsia="zh-CN"/>
        </w:rPr>
        <w:t>。</w:t>
      </w:r>
    </w:p>
    <w:p w14:paraId="40A36D84">
      <w:pPr>
        <w:pStyle w:val="4"/>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3.项目团队养老护理员职业技能等级证书持证率须达到</w:t>
      </w:r>
      <w:r>
        <w:rPr>
          <w:rFonts w:hint="eastAsia" w:ascii="宋体" w:hAnsi="宋体" w:cs="宋体"/>
          <w:sz w:val="21"/>
          <w:szCs w:val="21"/>
          <w:lang w:val="en-US" w:eastAsia="zh-CN"/>
        </w:rPr>
        <w:t>95</w:t>
      </w:r>
      <w:r>
        <w:rPr>
          <w:rFonts w:hint="eastAsia" w:ascii="宋体" w:hAnsi="宋体" w:eastAsia="宋体" w:cs="宋体"/>
          <w:sz w:val="21"/>
          <w:szCs w:val="21"/>
        </w:rPr>
        <w:t>%以上，甲方每月考核持证率，新入职护理员在入职后</w:t>
      </w:r>
      <w:r>
        <w:rPr>
          <w:rFonts w:hint="eastAsia" w:ascii="宋体" w:hAnsi="宋体" w:cs="宋体"/>
          <w:sz w:val="21"/>
          <w:szCs w:val="21"/>
          <w:lang w:val="en-US" w:eastAsia="zh-CN"/>
        </w:rPr>
        <w:t>1</w:t>
      </w:r>
      <w:r>
        <w:rPr>
          <w:rFonts w:hint="eastAsia" w:ascii="宋体" w:hAnsi="宋体" w:eastAsia="宋体" w:cs="宋体"/>
          <w:sz w:val="21"/>
          <w:szCs w:val="21"/>
        </w:rPr>
        <w:t>个月内需持证，每少1人扣除当月合同款500元。</w:t>
      </w:r>
    </w:p>
    <w:p w14:paraId="513115CB">
      <w:pPr>
        <w:pStyle w:val="4"/>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（二）年龄要求</w:t>
      </w:r>
    </w:p>
    <w:p w14:paraId="631DF2F2">
      <w:pPr>
        <w:pStyle w:val="4"/>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原则上要求项目新入职人员女性年</w:t>
      </w:r>
      <w:r>
        <w:rPr>
          <w:rFonts w:hint="eastAsia" w:ascii="宋体" w:hAnsi="宋体" w:eastAsia="宋体" w:cs="宋体"/>
          <w:color w:val="auto"/>
          <w:sz w:val="21"/>
          <w:szCs w:val="21"/>
          <w:highlight w:val="none"/>
        </w:rPr>
        <w:t>龄小于5</w:t>
      </w:r>
      <w:r>
        <w:rPr>
          <w:rFonts w:hint="eastAsia" w:ascii="宋体" w:hAnsi="宋体" w:cs="宋体"/>
          <w:color w:val="auto"/>
          <w:sz w:val="21"/>
          <w:szCs w:val="21"/>
          <w:highlight w:val="none"/>
          <w:lang w:val="en-US" w:eastAsia="zh-CN"/>
        </w:rPr>
        <w:t>6</w:t>
      </w:r>
      <w:r>
        <w:rPr>
          <w:rFonts w:hint="eastAsia" w:ascii="宋体" w:hAnsi="宋体" w:eastAsia="宋体" w:cs="宋体"/>
          <w:sz w:val="21"/>
          <w:szCs w:val="21"/>
          <w:highlight w:val="none"/>
        </w:rPr>
        <w:t>周岁，男性小于60周岁，经验丰富可适当放宽年龄要求，整个项目团队平均年龄原则上不能超过</w:t>
      </w:r>
      <w:r>
        <w:rPr>
          <w:rFonts w:hint="eastAsia" w:ascii="宋体" w:hAnsi="宋体" w:cs="宋体"/>
          <w:sz w:val="21"/>
          <w:szCs w:val="21"/>
          <w:highlight w:val="none"/>
          <w:lang w:val="en-US" w:eastAsia="zh-CN"/>
        </w:rPr>
        <w:t>57</w:t>
      </w:r>
      <w:r>
        <w:rPr>
          <w:rFonts w:hint="eastAsia" w:ascii="宋体" w:hAnsi="宋体" w:eastAsia="宋体" w:cs="宋体"/>
          <w:sz w:val="21"/>
          <w:szCs w:val="21"/>
          <w:highlight w:val="none"/>
        </w:rPr>
        <w:t>岁</w:t>
      </w:r>
      <w:r>
        <w:rPr>
          <w:rFonts w:hint="eastAsia" w:ascii="宋体" w:hAnsi="宋体" w:cs="宋体"/>
          <w:sz w:val="21"/>
          <w:szCs w:val="21"/>
          <w:highlight w:val="none"/>
          <w:lang w:eastAsia="zh-CN"/>
        </w:rPr>
        <w:t>。</w:t>
      </w:r>
    </w:p>
    <w:p w14:paraId="0EFE24D4">
      <w:pPr>
        <w:pStyle w:val="4"/>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（三）项目主管岗位工作要求</w:t>
      </w:r>
    </w:p>
    <w:p w14:paraId="46D7969B">
      <w:pPr>
        <w:pStyle w:val="4"/>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1、项目主管工作要求</w:t>
      </w:r>
    </w:p>
    <w:p w14:paraId="57B99DFC">
      <w:pPr>
        <w:pStyle w:val="4"/>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2、在甲方的指导下，负责护理项目的日常管理与运行。</w:t>
      </w:r>
    </w:p>
    <w:p w14:paraId="06EEB90C">
      <w:pPr>
        <w:pStyle w:val="4"/>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3、负责项目统筹协调，制定项目服务计划并组织实施，定期检查回顾，按时总结汇报。</w:t>
      </w:r>
    </w:p>
    <w:p w14:paraId="0F3DB570">
      <w:pPr>
        <w:pStyle w:val="4"/>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4、负责项目人事管理，统筹做好人员招聘、分工、考核等，根据工作量合理分配护理人力资源。</w:t>
      </w:r>
    </w:p>
    <w:p w14:paraId="4D664661">
      <w:pPr>
        <w:pStyle w:val="4"/>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5、负责项目安全管理，建立健全应急预案，严防护理差错事故，严格履行护理安全事件与隐患缺陷报告制度。</w:t>
      </w:r>
    </w:p>
    <w:p w14:paraId="67A6D605">
      <w:pPr>
        <w:pStyle w:val="4"/>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6、负责项目质量管理，建立、实施并保持质量管理体系，指导并参与特殊长者护理，保持护理质量持续改进。</w:t>
      </w:r>
    </w:p>
    <w:p w14:paraId="066D7568">
      <w:pPr>
        <w:pStyle w:val="4"/>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7、负责项目业务管理，建立护理查房制度，引导督促项目人员履职尽责，严格执行各项规章制度和技术操作规程。</w:t>
      </w:r>
    </w:p>
    <w:p w14:paraId="303DC65D">
      <w:pPr>
        <w:pStyle w:val="4"/>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8、负责项目队伍建设，定期组织业务学习、开展技能训练与考核，促进护理团队成长。</w:t>
      </w:r>
    </w:p>
    <w:p w14:paraId="4CEF9E5F">
      <w:pPr>
        <w:pStyle w:val="4"/>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9、加强与甲方的协调配合，保质保量完成甲方交办的工作任务。</w:t>
      </w:r>
    </w:p>
    <w:p w14:paraId="1F9B9262">
      <w:pPr>
        <w:pStyle w:val="4"/>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10、着装要求：投标人应为服务人员提供与岗位相匹配的工作服，包括春秋装、夏装、冬装。</w:t>
      </w:r>
    </w:p>
    <w:p w14:paraId="2E4B7459">
      <w:pPr>
        <w:pStyle w:val="4"/>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护理员排班、轮休由乙方负责安排，甲方负责审核，护理员实行轮班制，原则上轮休时间不少于2天/月，轮休期间，项目主管要负责落实其他养老护理员，务必到岗到位，做到尽职尽责，严禁脱岗、串岗、耍手机、长时间接听电话等做与工作无关的事情，不得影响护养质量及安全，由此导致的一切后果由乙方承担。</w:t>
      </w:r>
    </w:p>
    <w:p w14:paraId="1FBB3D65">
      <w:pPr>
        <w:pStyle w:val="4"/>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（四）养老护理员工作要求</w:t>
      </w:r>
    </w:p>
    <w:p w14:paraId="6D2F14F8">
      <w:pPr>
        <w:pStyle w:val="4"/>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highlight w:val="none"/>
        </w:rPr>
        <w:t>、</w:t>
      </w:r>
      <w:r>
        <w:rPr>
          <w:rFonts w:hint="eastAsia" w:ascii="宋体" w:hAnsi="宋体" w:eastAsia="宋体" w:cs="宋体"/>
          <w:b w:val="0"/>
          <w:bCs w:val="0"/>
          <w:sz w:val="21"/>
          <w:szCs w:val="21"/>
          <w:highlight w:val="none"/>
        </w:rPr>
        <w:t>在甲方领导下，乙方积极配合甲方领导进行工作</w:t>
      </w:r>
      <w:r>
        <w:rPr>
          <w:rFonts w:hint="eastAsia" w:ascii="宋体" w:hAnsi="宋体" w:eastAsia="宋体" w:cs="宋体"/>
          <w:sz w:val="21"/>
          <w:szCs w:val="21"/>
        </w:rPr>
        <w:t>，负责长者居住楼栋（包括长者居室、公共活动区域和设备用房）清洁卫生和消毒服务、点餐送餐等服务，长者生活照料服务、文化娱乐服务、协助就医服务、护理文书书写等工作。</w:t>
      </w:r>
    </w:p>
    <w:p w14:paraId="424460A9">
      <w:pPr>
        <w:pStyle w:val="4"/>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熟悉入住长者的生活、思想和健康状况，做到三关心（安全、情绪、作息）、六知道（房间床号、年龄性别、护理要点、疾病情况、级别护理、饮食爱好）；按照分级护理标准做好长者生活护理，发现异常及时干预并上报主管。</w:t>
      </w:r>
    </w:p>
    <w:p w14:paraId="543D02E4">
      <w:pPr>
        <w:pStyle w:val="4"/>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3、认真执行长者请假制度，按照要求做好请假在外长者的回访，有异常及时上报主管。</w:t>
      </w:r>
    </w:p>
    <w:p w14:paraId="43A4DA51">
      <w:pPr>
        <w:pStyle w:val="4"/>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4、自觉严格遵守护理程序和护理技术操作规程，规范服务。按照要求定时巡视长者居住房间和楼层，认真观察长者情况，发现异常及时报告、及时处理。杜绝差错事故发生。</w:t>
      </w:r>
    </w:p>
    <w:p w14:paraId="26582813">
      <w:pPr>
        <w:pStyle w:val="4"/>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5、熟练掌握长者应急事件处理流程，事件发生时能正确处理，及时上报。</w:t>
      </w:r>
    </w:p>
    <w:p w14:paraId="1F0621CB">
      <w:pPr>
        <w:pStyle w:val="4"/>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6、尊重、关心长者，语言文明、礼貌，举止端庄大方，热情周到服务，耐心协助解决心理问题，努力创造文明、健康、乐观、祥和的生活氛围。</w:t>
      </w:r>
    </w:p>
    <w:p w14:paraId="494B27C3">
      <w:pPr>
        <w:pStyle w:val="4"/>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7、认真做好卫生保健、饮食指导、意外事件防范等知识宣教，引导长者养成良好的生活习惯及行为方式。</w:t>
      </w:r>
    </w:p>
    <w:p w14:paraId="63413476">
      <w:pPr>
        <w:pStyle w:val="4"/>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8、做好人际管理，与同事和谐相处，协调长者拼房矛盾。</w:t>
      </w:r>
    </w:p>
    <w:p w14:paraId="57867DCA">
      <w:pPr>
        <w:pStyle w:val="4"/>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9、做好长者居住楼栋环境（含长者居室）的消毒清洁工作，保持生活环境的整洁、安静、安全、舒适。</w:t>
      </w:r>
    </w:p>
    <w:p w14:paraId="5D948FF0">
      <w:pPr>
        <w:pStyle w:val="4"/>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10、自觉遵守各项规章制度，服从工作分配，坚守岗位。认真做好交接班工作，按规定做好相关文书书写工作。</w:t>
      </w:r>
    </w:p>
    <w:p w14:paraId="2762D70F">
      <w:pPr>
        <w:pStyle w:val="4"/>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11、参加甲方及乙方组织的培训、学习和考核及各项活动。</w:t>
      </w:r>
    </w:p>
    <w:p w14:paraId="15E1315E">
      <w:pPr>
        <w:pStyle w:val="4"/>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12、完成交办的其它任务。</w:t>
      </w:r>
    </w:p>
    <w:p w14:paraId="7B2FB198">
      <w:pPr>
        <w:pStyle w:val="4"/>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13、着装要求：投标人应为服务人员提供与岗位相匹配的工作服，包括春秋装、夏装、冬装、工作围裙、工作雨鞋等。</w:t>
      </w:r>
    </w:p>
    <w:p w14:paraId="799B8EE8">
      <w:pPr>
        <w:pStyle w:val="4"/>
        <w:keepNext w:val="0"/>
        <w:keepLines w:val="0"/>
        <w:pageBreakBefore w:val="0"/>
        <w:widowControl w:val="0"/>
        <w:kinsoku/>
        <w:wordWrap/>
        <w:overflowPunct/>
        <w:topLinePunct w:val="0"/>
        <w:autoSpaceDE/>
        <w:autoSpaceDN/>
        <w:bidi w:val="0"/>
        <w:adjustRightInd w:val="0"/>
        <w:snapToGrid w:val="0"/>
        <w:spacing w:line="360" w:lineRule="auto"/>
        <w:ind w:left="0" w:firstLine="210" w:firstLineChars="100"/>
        <w:textAlignment w:val="auto"/>
        <w:rPr>
          <w:rFonts w:hint="eastAsia" w:ascii="宋体" w:hAnsi="宋体" w:eastAsia="宋体" w:cs="宋体"/>
          <w:b/>
          <w:bCs/>
          <w:color w:val="000000"/>
          <w:sz w:val="21"/>
          <w:szCs w:val="21"/>
        </w:rPr>
      </w:pPr>
      <w:r>
        <w:rPr>
          <w:rFonts w:hint="eastAsia" w:ascii="宋体" w:hAnsi="宋体" w:eastAsia="宋体" w:cs="宋体"/>
          <w:sz w:val="21"/>
          <w:szCs w:val="21"/>
        </w:rPr>
        <w:t>14、服务期间，未经康养中心管理人员同意，私自离开服务场所，导致的一切法律责任由</w:t>
      </w:r>
      <w:r>
        <w:rPr>
          <w:rFonts w:hint="eastAsia" w:ascii="宋体" w:hAnsi="宋体" w:cs="宋体"/>
          <w:sz w:val="21"/>
          <w:szCs w:val="21"/>
          <w:lang w:val="en-US" w:eastAsia="zh-CN"/>
        </w:rPr>
        <w:t>乙方</w:t>
      </w:r>
      <w:r>
        <w:rPr>
          <w:rFonts w:hint="eastAsia" w:ascii="宋体" w:hAnsi="宋体" w:eastAsia="宋体" w:cs="宋体"/>
          <w:sz w:val="21"/>
          <w:szCs w:val="21"/>
        </w:rPr>
        <w:t>自行承担。</w:t>
      </w:r>
      <w:bookmarkStart w:id="12" w:name="_Toc499805061"/>
    </w:p>
    <w:p w14:paraId="5FC6438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三、项目服务周期</w:t>
      </w:r>
    </w:p>
    <w:p w14:paraId="541A805E">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sz w:val="21"/>
          <w:szCs w:val="21"/>
          <w:u w:val="single"/>
        </w:rPr>
      </w:pPr>
      <w:r>
        <w:rPr>
          <w:rFonts w:hint="eastAsia" w:ascii="宋体" w:hAnsi="宋体" w:eastAsia="宋体" w:cs="宋体"/>
          <w:sz w:val="21"/>
          <w:szCs w:val="21"/>
        </w:rPr>
        <w:t>服务期限：</w:t>
      </w:r>
      <w:r>
        <w:rPr>
          <w:rFonts w:hint="eastAsia" w:ascii="宋体" w:hAnsi="宋体" w:eastAsia="宋体" w:cs="宋体"/>
          <w:b/>
          <w:bCs/>
          <w:sz w:val="21"/>
          <w:szCs w:val="21"/>
          <w:u w:val="single"/>
        </w:rPr>
        <w:t>1年</w:t>
      </w:r>
      <w:r>
        <w:rPr>
          <w:rFonts w:hint="eastAsia" w:ascii="宋体" w:hAnsi="宋体" w:eastAsia="宋体" w:cs="宋体"/>
          <w:sz w:val="21"/>
          <w:szCs w:val="21"/>
        </w:rPr>
        <w:t>。从</w:t>
      </w:r>
      <w:r>
        <w:rPr>
          <w:rFonts w:hint="eastAsia" w:ascii="宋体" w:hAnsi="宋体" w:eastAsia="宋体" w:cs="宋体"/>
          <w:b/>
          <w:bCs/>
          <w:sz w:val="21"/>
          <w:szCs w:val="21"/>
          <w:u w:val="single"/>
        </w:rPr>
        <w:t>2026年</w:t>
      </w:r>
      <w:r>
        <w:rPr>
          <w:rFonts w:hint="eastAsia" w:ascii="宋体" w:hAnsi="宋体" w:cs="宋体"/>
          <w:b/>
          <w:bCs/>
          <w:sz w:val="21"/>
          <w:szCs w:val="21"/>
          <w:u w:val="single"/>
          <w:lang w:val="en-US" w:eastAsia="zh-CN"/>
        </w:rPr>
        <w:t xml:space="preserve">  </w:t>
      </w:r>
      <w:r>
        <w:rPr>
          <w:rFonts w:hint="eastAsia" w:ascii="宋体" w:hAnsi="宋体" w:eastAsia="宋体" w:cs="宋体"/>
          <w:b/>
          <w:bCs/>
          <w:sz w:val="21"/>
          <w:szCs w:val="21"/>
          <w:u w:val="single"/>
        </w:rPr>
        <w:t>月</w:t>
      </w:r>
      <w:r>
        <w:rPr>
          <w:rFonts w:hint="eastAsia" w:ascii="宋体" w:hAnsi="宋体" w:cs="宋体"/>
          <w:b/>
          <w:bCs/>
          <w:sz w:val="21"/>
          <w:szCs w:val="21"/>
          <w:u w:val="single"/>
          <w:lang w:val="en-US" w:eastAsia="zh-CN"/>
        </w:rPr>
        <w:t xml:space="preserve">  </w:t>
      </w:r>
      <w:r>
        <w:rPr>
          <w:rFonts w:hint="eastAsia" w:ascii="宋体" w:hAnsi="宋体" w:eastAsia="宋体" w:cs="宋体"/>
          <w:b/>
          <w:bCs/>
          <w:sz w:val="21"/>
          <w:szCs w:val="21"/>
          <w:u w:val="single"/>
        </w:rPr>
        <w:t>日</w:t>
      </w:r>
      <w:r>
        <w:rPr>
          <w:rFonts w:hint="eastAsia" w:ascii="宋体" w:hAnsi="宋体" w:eastAsia="宋体" w:cs="宋体"/>
          <w:sz w:val="21"/>
          <w:szCs w:val="21"/>
        </w:rPr>
        <w:t>至</w:t>
      </w:r>
      <w:r>
        <w:rPr>
          <w:rFonts w:hint="eastAsia" w:ascii="宋体" w:hAnsi="宋体" w:eastAsia="宋体" w:cs="宋体"/>
          <w:b/>
          <w:bCs/>
          <w:sz w:val="21"/>
          <w:szCs w:val="21"/>
          <w:u w:val="single"/>
        </w:rPr>
        <w:t>2027年</w:t>
      </w:r>
      <w:r>
        <w:rPr>
          <w:rFonts w:hint="eastAsia" w:ascii="宋体" w:hAnsi="宋体" w:cs="宋体"/>
          <w:b/>
          <w:bCs/>
          <w:sz w:val="21"/>
          <w:szCs w:val="21"/>
          <w:u w:val="single"/>
          <w:lang w:val="en-US" w:eastAsia="zh-CN"/>
        </w:rPr>
        <w:t xml:space="preserve">  </w:t>
      </w:r>
      <w:r>
        <w:rPr>
          <w:rFonts w:hint="eastAsia" w:ascii="宋体" w:hAnsi="宋体" w:eastAsia="宋体" w:cs="宋体"/>
          <w:b/>
          <w:bCs/>
          <w:sz w:val="21"/>
          <w:szCs w:val="21"/>
          <w:u w:val="single"/>
        </w:rPr>
        <w:t>月</w:t>
      </w:r>
      <w:r>
        <w:rPr>
          <w:rFonts w:hint="eastAsia" w:ascii="宋体" w:hAnsi="宋体" w:cs="宋体"/>
          <w:b/>
          <w:bCs/>
          <w:sz w:val="21"/>
          <w:szCs w:val="21"/>
          <w:u w:val="single"/>
          <w:lang w:val="en-US" w:eastAsia="zh-CN"/>
        </w:rPr>
        <w:t xml:space="preserve">  </w:t>
      </w:r>
      <w:r>
        <w:rPr>
          <w:rFonts w:hint="eastAsia" w:ascii="宋体" w:hAnsi="宋体" w:eastAsia="宋体" w:cs="宋体"/>
          <w:b/>
          <w:bCs/>
          <w:sz w:val="21"/>
          <w:szCs w:val="21"/>
          <w:u w:val="single"/>
        </w:rPr>
        <w:t>日</w:t>
      </w:r>
      <w:r>
        <w:rPr>
          <w:rFonts w:hint="eastAsia" w:ascii="宋体" w:hAnsi="宋体" w:eastAsia="宋体" w:cs="宋体"/>
          <w:sz w:val="21"/>
          <w:szCs w:val="21"/>
          <w:u w:val="single"/>
        </w:rPr>
        <w:t>。</w:t>
      </w:r>
    </w:p>
    <w:p w14:paraId="17BB719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四、服务费用及支付方式</w:t>
      </w:r>
    </w:p>
    <w:p w14:paraId="0D006BD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szCs w:val="24"/>
          <w:highlight w:val="none"/>
        </w:rPr>
      </w:pPr>
      <w:r>
        <w:rPr>
          <w:rFonts w:hint="eastAsia" w:ascii="宋体" w:hAnsi="宋体"/>
          <w:szCs w:val="24"/>
          <w:highlight w:val="none"/>
        </w:rPr>
        <w:t>1.根据招标需求完成情况和考核标准，分季度拨付相应管理费用。</w:t>
      </w:r>
    </w:p>
    <w:p w14:paraId="2B1DA7CD">
      <w:pPr>
        <w:keepNext w:val="0"/>
        <w:keepLines w:val="0"/>
        <w:pageBreakBefore w:val="0"/>
        <w:widowControl w:val="0"/>
        <w:numPr>
          <w:ilvl w:val="255"/>
          <w:numId w:val="0"/>
        </w:numPr>
        <w:kinsoku/>
        <w:wordWrap/>
        <w:overflowPunct/>
        <w:topLinePunct w:val="0"/>
        <w:autoSpaceDE/>
        <w:autoSpaceDN/>
        <w:bidi w:val="0"/>
        <w:spacing w:line="360" w:lineRule="auto"/>
        <w:ind w:firstLine="420" w:firstLineChars="200"/>
        <w:textAlignment w:val="auto"/>
        <w:rPr>
          <w:rFonts w:hint="eastAsia" w:ascii="宋体" w:hAnsi="宋体"/>
          <w:szCs w:val="24"/>
          <w:highlight w:val="none"/>
        </w:rPr>
      </w:pPr>
      <w:r>
        <w:rPr>
          <w:rFonts w:hint="eastAsia" w:ascii="宋体" w:hAnsi="宋体"/>
          <w:szCs w:val="24"/>
          <w:highlight w:val="none"/>
        </w:rPr>
        <w:t>2.项目主管、护理员薪资</w:t>
      </w:r>
      <w:r>
        <w:rPr>
          <w:rFonts w:hint="eastAsia" w:ascii="宋体" w:hAnsi="宋体"/>
          <w:szCs w:val="24"/>
          <w:highlight w:val="none"/>
          <w:lang w:eastAsia="zh-CN"/>
        </w:rPr>
        <w:t>、社保费用</w:t>
      </w:r>
      <w:r>
        <w:rPr>
          <w:rFonts w:hint="eastAsia" w:ascii="宋体" w:hAnsi="宋体"/>
          <w:szCs w:val="24"/>
          <w:highlight w:val="none"/>
        </w:rPr>
        <w:t>及福利等由甲方按月打款至乙方后，乙方发放给相关护理员。护理员薪资福利按甲方规定支付，涉及社保的员工，单位社保由甲方结算，由乙方负责缴纳。</w:t>
      </w:r>
    </w:p>
    <w:p w14:paraId="2BBB3200">
      <w:pPr>
        <w:spacing w:line="360" w:lineRule="auto"/>
        <w:ind w:firstLine="480"/>
        <w:rPr>
          <w:rFonts w:hint="eastAsia" w:ascii="宋体" w:hAnsi="宋体"/>
          <w:color w:val="auto"/>
          <w:szCs w:val="24"/>
          <w:highlight w:val="none"/>
        </w:rPr>
      </w:pPr>
      <w:r>
        <w:rPr>
          <w:rFonts w:hint="eastAsia" w:ascii="宋体" w:hAnsi="宋体"/>
          <w:szCs w:val="24"/>
          <w:highlight w:val="none"/>
        </w:rPr>
        <w:t>3.支付流程为每月5号前乙方编制并提交在岗项目主管、护理员上一个月基本薪资</w:t>
      </w:r>
      <w:r>
        <w:rPr>
          <w:rFonts w:hint="eastAsia" w:ascii="宋体" w:hAnsi="宋体"/>
          <w:szCs w:val="24"/>
          <w:highlight w:val="none"/>
          <w:lang w:eastAsia="zh-CN"/>
        </w:rPr>
        <w:t>、</w:t>
      </w:r>
      <w:r>
        <w:rPr>
          <w:rFonts w:hint="eastAsia" w:ascii="宋体" w:hAnsi="宋体"/>
          <w:szCs w:val="24"/>
          <w:highlight w:val="none"/>
        </w:rPr>
        <w:t>福利费的核算单，经甲方审核确认，并收到乙方有效发票后，按甲方财务流程支付。如因乙方薪资费用核算</w:t>
      </w:r>
      <w:r>
        <w:rPr>
          <w:rFonts w:hint="eastAsia" w:ascii="宋体" w:hAnsi="宋体"/>
          <w:color w:val="auto"/>
          <w:szCs w:val="24"/>
          <w:highlight w:val="none"/>
        </w:rPr>
        <w:t>单提交过迟，或</w:t>
      </w:r>
      <w:r>
        <w:rPr>
          <w:rFonts w:hint="eastAsia" w:ascii="宋体" w:hAnsi="宋体"/>
          <w:color w:val="auto"/>
          <w:szCs w:val="24"/>
          <w:highlight w:val="none"/>
          <w:lang w:eastAsia="zh-CN"/>
        </w:rPr>
        <w:t>因</w:t>
      </w:r>
      <w:r>
        <w:rPr>
          <w:rFonts w:hint="eastAsia" w:ascii="宋体" w:hAnsi="宋体"/>
          <w:strike w:val="0"/>
          <w:color w:val="auto"/>
          <w:szCs w:val="24"/>
          <w:highlight w:val="none"/>
          <w:lang w:eastAsia="zh-CN"/>
        </w:rPr>
        <w:t>乙方对甲方审核后的</w:t>
      </w:r>
      <w:r>
        <w:rPr>
          <w:rFonts w:hint="eastAsia" w:ascii="宋体" w:hAnsi="宋体"/>
          <w:color w:val="auto"/>
          <w:szCs w:val="24"/>
          <w:highlight w:val="none"/>
        </w:rPr>
        <w:t>费用有异议，导致费用支付延迟，由此引发的一切后果由乙方承担。</w:t>
      </w:r>
    </w:p>
    <w:p w14:paraId="4779EB43">
      <w:pPr>
        <w:spacing w:line="360" w:lineRule="auto"/>
        <w:ind w:firstLine="420" w:firstLineChars="200"/>
        <w:rPr>
          <w:rFonts w:hint="eastAsia" w:ascii="宋体" w:hAnsi="宋体"/>
          <w:color w:val="auto"/>
          <w:szCs w:val="24"/>
          <w:highlight w:val="none"/>
        </w:rPr>
      </w:pPr>
      <w:r>
        <w:rPr>
          <w:rFonts w:hint="eastAsia" w:ascii="宋体" w:hAnsi="宋体"/>
          <w:color w:val="auto"/>
          <w:szCs w:val="24"/>
          <w:highlight w:val="none"/>
        </w:rPr>
        <w:t>4.如遇节假日，费用支付时间自动顺延到节假日后第一个工作日。</w:t>
      </w:r>
    </w:p>
    <w:p w14:paraId="0C8C4845">
      <w:pPr>
        <w:spacing w:line="360" w:lineRule="auto"/>
        <w:ind w:firstLine="420" w:firstLineChars="200"/>
        <w:rPr>
          <w:rFonts w:hint="eastAsia" w:ascii="宋体" w:hAnsi="宋体"/>
          <w:szCs w:val="24"/>
          <w:u w:val="single"/>
        </w:rPr>
      </w:pPr>
      <w:r>
        <w:rPr>
          <w:rFonts w:hint="eastAsia" w:ascii="宋体" w:hAnsi="宋体"/>
          <w:color w:val="auto"/>
          <w:szCs w:val="24"/>
          <w:highlight w:val="none"/>
        </w:rPr>
        <w:t>5.乙方为甲方提供增值税电子普通发票，产生的企业所得税等由乙方承担。</w:t>
      </w:r>
    </w:p>
    <w:p w14:paraId="7CBD28F3">
      <w:pPr>
        <w:rPr>
          <w:rFonts w:hint="eastAsia" w:ascii="宋体" w:hAnsi="宋体"/>
          <w:szCs w:val="24"/>
          <w:u w:val="single"/>
        </w:rPr>
      </w:pPr>
    </w:p>
    <w:p w14:paraId="7FD8E0B8">
      <w:r>
        <w:rPr>
          <w:rFonts w:hint="eastAsia"/>
        </w:rPr>
        <w:t>附件1：</w:t>
      </w:r>
    </w:p>
    <w:p w14:paraId="3E31E928">
      <w:pPr>
        <w:pStyle w:val="2"/>
        <w:ind w:firstLine="210"/>
      </w:pPr>
    </w:p>
    <w:p w14:paraId="1BCA762E">
      <w:pPr>
        <w:numPr>
          <w:ilvl w:val="255"/>
          <w:numId w:val="0"/>
        </w:numPr>
        <w:snapToGrid w:val="0"/>
        <w:spacing w:before="156" w:beforeLines="50" w:after="156" w:afterLines="50" w:line="360" w:lineRule="auto"/>
        <w:jc w:val="center"/>
        <w:outlineLvl w:val="0"/>
        <w:rPr>
          <w:rFonts w:hint="eastAsia" w:ascii="仿宋" w:hAnsi="仿宋" w:eastAsia="仿宋" w:cs="仿宋"/>
          <w:sz w:val="24"/>
        </w:rPr>
      </w:pPr>
      <w:r>
        <w:rPr>
          <w:rFonts w:hint="eastAsia" w:ascii="仿宋" w:hAnsi="仿宋" w:eastAsia="仿宋" w:cs="仿宋"/>
          <w:sz w:val="24"/>
        </w:rPr>
        <w:t>考核标准</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5222"/>
        <w:gridCol w:w="487"/>
        <w:gridCol w:w="456"/>
        <w:gridCol w:w="1249"/>
      </w:tblGrid>
      <w:tr w14:paraId="1709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201" w:type="dxa"/>
            <w:vAlign w:val="center"/>
          </w:tcPr>
          <w:p w14:paraId="41248399">
            <w:pPr>
              <w:snapToGrid w:val="0"/>
              <w:spacing w:before="156" w:beforeLines="50" w:after="156" w:afterLines="50" w:line="360" w:lineRule="auto"/>
              <w:jc w:val="center"/>
              <w:outlineLvl w:val="0"/>
              <w:rPr>
                <w:rFonts w:hint="eastAsia" w:ascii="仿宋" w:hAnsi="仿宋" w:eastAsia="仿宋" w:cs="仿宋"/>
                <w:sz w:val="24"/>
              </w:rPr>
            </w:pPr>
            <w:r>
              <w:rPr>
                <w:rFonts w:hint="eastAsia" w:ascii="仿宋" w:hAnsi="仿宋" w:eastAsia="仿宋" w:cs="仿宋"/>
                <w:sz w:val="24"/>
              </w:rPr>
              <w:t>考核项目</w:t>
            </w:r>
          </w:p>
        </w:tc>
        <w:tc>
          <w:tcPr>
            <w:tcW w:w="5850" w:type="dxa"/>
          </w:tcPr>
          <w:p w14:paraId="30D969F6">
            <w:pPr>
              <w:snapToGrid w:val="0"/>
              <w:spacing w:before="156" w:beforeLines="50" w:after="156" w:afterLines="50" w:line="360" w:lineRule="auto"/>
              <w:jc w:val="center"/>
              <w:outlineLvl w:val="0"/>
              <w:rPr>
                <w:rFonts w:hint="eastAsia" w:ascii="仿宋" w:hAnsi="仿宋" w:eastAsia="仿宋" w:cs="仿宋"/>
                <w:sz w:val="24"/>
              </w:rPr>
            </w:pPr>
            <w:r>
              <w:rPr>
                <w:rFonts w:hint="eastAsia" w:ascii="仿宋" w:hAnsi="仿宋" w:eastAsia="仿宋" w:cs="仿宋"/>
                <w:sz w:val="24"/>
              </w:rPr>
              <w:t>考核内容</w:t>
            </w:r>
          </w:p>
        </w:tc>
        <w:tc>
          <w:tcPr>
            <w:tcW w:w="492" w:type="dxa"/>
          </w:tcPr>
          <w:p w14:paraId="1FC2D2FE">
            <w:pPr>
              <w:snapToGrid w:val="0"/>
              <w:spacing w:before="156" w:beforeLines="50" w:after="156" w:afterLines="50" w:line="360" w:lineRule="auto"/>
              <w:jc w:val="center"/>
              <w:outlineLvl w:val="0"/>
              <w:rPr>
                <w:rFonts w:hint="eastAsia" w:ascii="仿宋" w:hAnsi="仿宋" w:eastAsia="仿宋" w:cs="仿宋"/>
                <w:sz w:val="24"/>
              </w:rPr>
            </w:pPr>
            <w:r>
              <w:rPr>
                <w:rFonts w:hint="eastAsia" w:ascii="仿宋" w:hAnsi="仿宋" w:eastAsia="仿宋" w:cs="仿宋"/>
                <w:sz w:val="24"/>
              </w:rPr>
              <w:t>分值</w:t>
            </w:r>
          </w:p>
        </w:tc>
        <w:tc>
          <w:tcPr>
            <w:tcW w:w="456" w:type="dxa"/>
          </w:tcPr>
          <w:p w14:paraId="10251ED6">
            <w:pPr>
              <w:snapToGrid w:val="0"/>
              <w:spacing w:before="156" w:beforeLines="50" w:after="156" w:afterLines="50" w:line="360" w:lineRule="auto"/>
              <w:jc w:val="center"/>
              <w:outlineLvl w:val="0"/>
              <w:rPr>
                <w:rFonts w:hint="eastAsia" w:ascii="仿宋" w:hAnsi="仿宋" w:eastAsia="仿宋" w:cs="仿宋"/>
                <w:sz w:val="24"/>
              </w:rPr>
            </w:pPr>
            <w:r>
              <w:rPr>
                <w:rFonts w:hint="eastAsia" w:ascii="仿宋" w:hAnsi="仿宋" w:eastAsia="仿宋" w:cs="仿宋"/>
                <w:sz w:val="24"/>
              </w:rPr>
              <w:t>得分</w:t>
            </w:r>
          </w:p>
        </w:tc>
        <w:tc>
          <w:tcPr>
            <w:tcW w:w="1337" w:type="dxa"/>
          </w:tcPr>
          <w:p w14:paraId="7B1CB2EF">
            <w:pPr>
              <w:snapToGrid w:val="0"/>
              <w:spacing w:before="156" w:beforeLines="50" w:after="156" w:afterLines="50"/>
              <w:jc w:val="center"/>
              <w:outlineLvl w:val="0"/>
              <w:rPr>
                <w:rFonts w:hint="eastAsia" w:ascii="仿宋" w:hAnsi="仿宋" w:eastAsia="仿宋" w:cs="仿宋"/>
                <w:sz w:val="24"/>
              </w:rPr>
            </w:pPr>
            <w:r>
              <w:rPr>
                <w:rFonts w:hint="eastAsia" w:ascii="仿宋" w:hAnsi="仿宋" w:eastAsia="仿宋" w:cs="仿宋"/>
                <w:sz w:val="24"/>
              </w:rPr>
              <w:t>扣分标准</w:t>
            </w:r>
          </w:p>
        </w:tc>
      </w:tr>
      <w:tr w14:paraId="550F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1" w:type="dxa"/>
            <w:vAlign w:val="center"/>
          </w:tcPr>
          <w:p w14:paraId="5EDBEEA7">
            <w:pPr>
              <w:snapToGrid w:val="0"/>
              <w:spacing w:before="156" w:beforeLines="50" w:after="156" w:afterLines="50" w:line="360" w:lineRule="auto"/>
              <w:outlineLvl w:val="0"/>
              <w:rPr>
                <w:rFonts w:hint="eastAsia" w:ascii="仿宋" w:hAnsi="仿宋" w:eastAsia="仿宋" w:cs="仿宋"/>
                <w:sz w:val="24"/>
              </w:rPr>
            </w:pPr>
            <w:r>
              <w:rPr>
                <w:rFonts w:hint="eastAsia" w:ascii="仿宋" w:hAnsi="仿宋" w:eastAsia="仿宋" w:cs="仿宋"/>
                <w:b/>
                <w:bCs/>
                <w:kern w:val="0"/>
                <w:szCs w:val="21"/>
              </w:rPr>
              <w:t>居室环境</w:t>
            </w:r>
          </w:p>
        </w:tc>
        <w:tc>
          <w:tcPr>
            <w:tcW w:w="5850" w:type="dxa"/>
          </w:tcPr>
          <w:p w14:paraId="365F7873">
            <w:pPr>
              <w:numPr>
                <w:ilvl w:val="0"/>
                <w:numId w:val="5"/>
              </w:numPr>
              <w:snapToGrid w:val="0"/>
              <w:spacing w:before="156" w:beforeLines="50" w:after="156" w:afterLines="50"/>
              <w:jc w:val="left"/>
              <w:outlineLvl w:val="0"/>
              <w:rPr>
                <w:rFonts w:hint="eastAsia" w:ascii="仿宋" w:hAnsi="仿宋" w:eastAsia="仿宋" w:cs="仿宋"/>
                <w:kern w:val="0"/>
                <w:szCs w:val="21"/>
              </w:rPr>
            </w:pPr>
            <w:r>
              <w:rPr>
                <w:rFonts w:hint="eastAsia" w:ascii="仿宋" w:hAnsi="仿宋" w:eastAsia="仿宋" w:cs="仿宋"/>
                <w:kern w:val="0"/>
                <w:szCs w:val="21"/>
              </w:rPr>
              <w:t>公共区域、居室物品摆放合理，设施设备干净整洁。（1分）</w:t>
            </w:r>
          </w:p>
          <w:p w14:paraId="079CB051">
            <w:pPr>
              <w:numPr>
                <w:ilvl w:val="0"/>
                <w:numId w:val="5"/>
              </w:numPr>
              <w:snapToGrid w:val="0"/>
              <w:spacing w:before="156" w:beforeLines="50" w:after="156" w:afterLines="50"/>
              <w:jc w:val="left"/>
              <w:outlineLvl w:val="0"/>
              <w:rPr>
                <w:rFonts w:hint="eastAsia" w:ascii="仿宋" w:hAnsi="仿宋" w:eastAsia="仿宋" w:cs="仿宋"/>
                <w:szCs w:val="21"/>
              </w:rPr>
            </w:pPr>
            <w:r>
              <w:rPr>
                <w:rFonts w:hint="eastAsia" w:ascii="仿宋" w:hAnsi="仿宋" w:eastAsia="仿宋" w:cs="仿宋"/>
                <w:kern w:val="0"/>
                <w:szCs w:val="21"/>
              </w:rPr>
              <w:t>地面、家具、窗台、玻璃洁净无积灰、无积水、无垃圾、无痰迹、无蜘蛛网。（1分）</w:t>
            </w:r>
          </w:p>
          <w:p w14:paraId="2124D36B">
            <w:pPr>
              <w:numPr>
                <w:ilvl w:val="0"/>
                <w:numId w:val="5"/>
              </w:numPr>
              <w:snapToGrid w:val="0"/>
              <w:spacing w:before="156" w:beforeLines="50" w:after="156" w:afterLines="50"/>
              <w:jc w:val="left"/>
              <w:outlineLvl w:val="0"/>
              <w:rPr>
                <w:rFonts w:hint="eastAsia" w:ascii="仿宋" w:hAnsi="仿宋" w:eastAsia="仿宋" w:cs="仿宋"/>
                <w:szCs w:val="21"/>
              </w:rPr>
            </w:pPr>
            <w:r>
              <w:rPr>
                <w:rFonts w:hint="eastAsia" w:ascii="仿宋" w:hAnsi="仿宋" w:eastAsia="仿宋" w:cs="仿宋"/>
                <w:kern w:val="0"/>
                <w:szCs w:val="21"/>
              </w:rPr>
              <w:t>卫生间无积水，洗手盆、便器清洁无垢、无异味。（1分）</w:t>
            </w:r>
          </w:p>
          <w:p w14:paraId="1CCF67FF">
            <w:pPr>
              <w:numPr>
                <w:ilvl w:val="0"/>
                <w:numId w:val="5"/>
              </w:numPr>
              <w:snapToGrid w:val="0"/>
              <w:spacing w:before="156" w:beforeLines="50" w:after="156" w:afterLines="50"/>
              <w:jc w:val="left"/>
              <w:outlineLvl w:val="0"/>
              <w:rPr>
                <w:rFonts w:hint="eastAsia" w:ascii="仿宋" w:hAnsi="仿宋" w:eastAsia="仿宋" w:cs="仿宋"/>
                <w:kern w:val="0"/>
                <w:szCs w:val="21"/>
              </w:rPr>
            </w:pPr>
            <w:r>
              <w:rPr>
                <w:rFonts w:hint="eastAsia" w:ascii="仿宋" w:hAnsi="仿宋" w:eastAsia="仿宋" w:cs="仿宋"/>
                <w:kern w:val="0"/>
                <w:szCs w:val="21"/>
              </w:rPr>
              <w:t>床单位整洁，衣物、床上用品定时更换、清洗、翻晒，干燥无异味。（1分）</w:t>
            </w:r>
          </w:p>
          <w:p w14:paraId="5BD556FC">
            <w:pPr>
              <w:numPr>
                <w:ilvl w:val="0"/>
                <w:numId w:val="5"/>
              </w:numPr>
              <w:snapToGrid w:val="0"/>
              <w:spacing w:before="156" w:beforeLines="50" w:after="156" w:afterLines="50"/>
              <w:jc w:val="left"/>
              <w:outlineLvl w:val="0"/>
              <w:rPr>
                <w:rFonts w:hint="eastAsia" w:ascii="仿宋" w:hAnsi="仿宋" w:eastAsia="仿宋" w:cs="仿宋"/>
                <w:szCs w:val="21"/>
              </w:rPr>
            </w:pPr>
            <w:r>
              <w:rPr>
                <w:rFonts w:hint="eastAsia" w:ascii="仿宋" w:hAnsi="仿宋" w:eastAsia="仿宋" w:cs="仿宋"/>
                <w:kern w:val="0"/>
                <w:szCs w:val="21"/>
              </w:rPr>
              <w:t>垃圾分类和垃圾投放正确，可回收物品无堆积，及时处理。（1分）</w:t>
            </w:r>
          </w:p>
          <w:p w14:paraId="2276E7FA">
            <w:pPr>
              <w:numPr>
                <w:ilvl w:val="0"/>
                <w:numId w:val="5"/>
              </w:numPr>
              <w:snapToGrid w:val="0"/>
              <w:spacing w:before="156" w:beforeLines="50" w:after="156" w:afterLines="50"/>
              <w:jc w:val="left"/>
              <w:outlineLvl w:val="0"/>
              <w:rPr>
                <w:rFonts w:hint="eastAsia" w:ascii="仿宋" w:hAnsi="仿宋" w:eastAsia="仿宋" w:cs="仿宋"/>
                <w:szCs w:val="21"/>
              </w:rPr>
            </w:pPr>
            <w:r>
              <w:rPr>
                <w:rFonts w:hint="eastAsia" w:ascii="仿宋" w:hAnsi="仿宋" w:eastAsia="仿宋" w:cs="仿宋"/>
                <w:szCs w:val="21"/>
              </w:rPr>
              <w:t>做好设施设备日常维护，如有坏损及时报修，并跟进维修进度。</w:t>
            </w:r>
            <w:r>
              <w:rPr>
                <w:rFonts w:hint="eastAsia" w:ascii="仿宋" w:hAnsi="仿宋" w:eastAsia="仿宋" w:cs="仿宋"/>
                <w:kern w:val="0"/>
                <w:szCs w:val="21"/>
              </w:rPr>
              <w:t>（1分）</w:t>
            </w:r>
          </w:p>
        </w:tc>
        <w:tc>
          <w:tcPr>
            <w:tcW w:w="492" w:type="dxa"/>
          </w:tcPr>
          <w:p w14:paraId="46AE20E9">
            <w:pPr>
              <w:snapToGrid w:val="0"/>
              <w:spacing w:before="156" w:beforeLines="50" w:after="156" w:afterLines="50" w:line="360" w:lineRule="auto"/>
              <w:jc w:val="center"/>
              <w:outlineLvl w:val="0"/>
              <w:rPr>
                <w:rFonts w:hint="eastAsia" w:ascii="仿宋" w:hAnsi="仿宋" w:eastAsia="仿宋" w:cs="仿宋"/>
                <w:szCs w:val="21"/>
              </w:rPr>
            </w:pPr>
            <w:r>
              <w:rPr>
                <w:rFonts w:hint="eastAsia" w:ascii="仿宋" w:hAnsi="仿宋" w:eastAsia="仿宋" w:cs="仿宋"/>
                <w:szCs w:val="21"/>
              </w:rPr>
              <w:t>6</w:t>
            </w:r>
          </w:p>
        </w:tc>
        <w:tc>
          <w:tcPr>
            <w:tcW w:w="456" w:type="dxa"/>
          </w:tcPr>
          <w:p w14:paraId="2131623D">
            <w:pPr>
              <w:snapToGrid w:val="0"/>
              <w:spacing w:before="156" w:beforeLines="50" w:after="156" w:afterLines="50" w:line="360" w:lineRule="auto"/>
              <w:jc w:val="center"/>
              <w:outlineLvl w:val="0"/>
              <w:rPr>
                <w:rFonts w:hint="eastAsia" w:ascii="仿宋" w:hAnsi="仿宋" w:eastAsia="仿宋" w:cs="仿宋"/>
                <w:szCs w:val="21"/>
              </w:rPr>
            </w:pPr>
          </w:p>
        </w:tc>
        <w:tc>
          <w:tcPr>
            <w:tcW w:w="1337" w:type="dxa"/>
          </w:tcPr>
          <w:p w14:paraId="7E927E98">
            <w:pPr>
              <w:snapToGrid w:val="0"/>
              <w:spacing w:before="156" w:beforeLines="50" w:after="156" w:afterLines="50"/>
              <w:jc w:val="center"/>
              <w:outlineLvl w:val="0"/>
              <w:rPr>
                <w:rFonts w:hint="eastAsia" w:ascii="仿宋" w:hAnsi="仿宋" w:eastAsia="仿宋" w:cs="仿宋"/>
                <w:szCs w:val="21"/>
              </w:rPr>
            </w:pPr>
            <w:r>
              <w:rPr>
                <w:rFonts w:hint="eastAsia" w:ascii="仿宋" w:hAnsi="仿宋" w:eastAsia="仿宋" w:cs="仿宋"/>
                <w:szCs w:val="21"/>
              </w:rPr>
              <w:t>每1处不符扣1分，扣完为止。</w:t>
            </w:r>
          </w:p>
        </w:tc>
      </w:tr>
      <w:tr w14:paraId="6755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1" w:type="dxa"/>
            <w:vAlign w:val="center"/>
          </w:tcPr>
          <w:p w14:paraId="51E7AC03">
            <w:pPr>
              <w:snapToGrid w:val="0"/>
              <w:spacing w:before="156" w:beforeLines="50" w:after="156" w:afterLines="50" w:line="360" w:lineRule="auto"/>
              <w:outlineLvl w:val="0"/>
              <w:rPr>
                <w:rFonts w:hint="eastAsia" w:ascii="仿宋" w:hAnsi="仿宋" w:eastAsia="仿宋" w:cs="仿宋"/>
                <w:sz w:val="24"/>
              </w:rPr>
            </w:pPr>
            <w:r>
              <w:rPr>
                <w:rFonts w:hint="eastAsia" w:ascii="仿宋" w:hAnsi="仿宋" w:eastAsia="仿宋" w:cs="仿宋"/>
                <w:b/>
                <w:bCs/>
                <w:kern w:val="0"/>
                <w:szCs w:val="21"/>
              </w:rPr>
              <w:t>照护服务</w:t>
            </w:r>
          </w:p>
        </w:tc>
        <w:tc>
          <w:tcPr>
            <w:tcW w:w="5850" w:type="dxa"/>
          </w:tcPr>
          <w:p w14:paraId="3FBEDEBC">
            <w:pPr>
              <w:numPr>
                <w:ilvl w:val="0"/>
                <w:numId w:val="6"/>
              </w:numPr>
              <w:snapToGrid w:val="0"/>
              <w:spacing w:before="156" w:beforeLines="50" w:after="156" w:afterLines="50"/>
              <w:jc w:val="left"/>
              <w:outlineLvl w:val="0"/>
              <w:rPr>
                <w:rFonts w:hint="eastAsia" w:ascii="仿宋" w:hAnsi="仿宋" w:eastAsia="仿宋" w:cs="仿宋"/>
                <w:kern w:val="0"/>
                <w:szCs w:val="21"/>
              </w:rPr>
            </w:pPr>
            <w:r>
              <w:rPr>
                <w:rFonts w:hint="eastAsia" w:ascii="仿宋" w:hAnsi="仿宋" w:eastAsia="仿宋" w:cs="仿宋"/>
                <w:kern w:val="0"/>
                <w:szCs w:val="21"/>
              </w:rPr>
              <w:t>每天督促或协助长者完成晨晚间护理：包括洗脸、刷牙/口护棒擦拭、洗脚、洗澡、擦身、更换衣物等。（1分）</w:t>
            </w:r>
          </w:p>
          <w:p w14:paraId="18739E80">
            <w:pPr>
              <w:numPr>
                <w:ilvl w:val="0"/>
                <w:numId w:val="6"/>
              </w:numPr>
              <w:snapToGrid w:val="0"/>
              <w:spacing w:before="156" w:beforeLines="50" w:after="156" w:afterLines="50"/>
              <w:jc w:val="left"/>
              <w:outlineLvl w:val="0"/>
              <w:rPr>
                <w:rFonts w:hint="eastAsia" w:ascii="仿宋" w:hAnsi="仿宋" w:eastAsia="仿宋" w:cs="仿宋"/>
                <w:kern w:val="0"/>
                <w:szCs w:val="21"/>
              </w:rPr>
            </w:pPr>
            <w:r>
              <w:rPr>
                <w:rFonts w:hint="eastAsia" w:ascii="仿宋" w:hAnsi="仿宋" w:eastAsia="仿宋" w:cs="仿宋"/>
                <w:kern w:val="0"/>
                <w:szCs w:val="21"/>
              </w:rPr>
              <w:t>提供身体护理服务时，做到六洁（口腔、皮肤、会阴、肛门、四肢、头发）， 三短（头发、指甲、胡须）。（1分）</w:t>
            </w:r>
          </w:p>
          <w:p w14:paraId="269463ED">
            <w:pPr>
              <w:numPr>
                <w:ilvl w:val="0"/>
                <w:numId w:val="6"/>
              </w:numPr>
              <w:snapToGrid w:val="0"/>
              <w:spacing w:before="156" w:beforeLines="50" w:after="156" w:afterLines="50"/>
              <w:jc w:val="left"/>
              <w:outlineLvl w:val="0"/>
              <w:rPr>
                <w:rFonts w:hint="eastAsia" w:ascii="仿宋" w:hAnsi="仿宋" w:eastAsia="仿宋" w:cs="仿宋"/>
                <w:kern w:val="0"/>
                <w:szCs w:val="21"/>
              </w:rPr>
            </w:pPr>
            <w:r>
              <w:rPr>
                <w:rFonts w:hint="eastAsia" w:ascii="仿宋" w:hAnsi="仿宋" w:eastAsia="仿宋" w:cs="仿宋"/>
                <w:kern w:val="0"/>
                <w:szCs w:val="21"/>
              </w:rPr>
              <w:t>按规定及时倾倒清洁消毒尿壶、坐便椅、便盆等，确保尿壶、坐便椅和便盆清洁、无异味。及时倾倒便器，更换尿袋、尿片、尿不湿。（2分）</w:t>
            </w:r>
          </w:p>
          <w:p w14:paraId="25CA4341">
            <w:pPr>
              <w:numPr>
                <w:ilvl w:val="0"/>
                <w:numId w:val="6"/>
              </w:numPr>
              <w:snapToGrid w:val="0"/>
              <w:spacing w:before="156" w:beforeLines="50" w:after="156" w:afterLines="50"/>
              <w:jc w:val="left"/>
              <w:outlineLvl w:val="0"/>
              <w:rPr>
                <w:rFonts w:hint="eastAsia" w:ascii="仿宋" w:hAnsi="仿宋" w:eastAsia="仿宋" w:cs="仿宋"/>
                <w:kern w:val="0"/>
                <w:szCs w:val="21"/>
              </w:rPr>
            </w:pPr>
            <w:r>
              <w:rPr>
                <w:rFonts w:hint="eastAsia" w:ascii="仿宋" w:hAnsi="仿宋" w:eastAsia="仿宋" w:cs="仿宋"/>
                <w:kern w:val="0"/>
                <w:szCs w:val="21"/>
              </w:rPr>
              <w:t>协助压疮或高危压疮者做好皮肤护理，卧床者，每2小时更换体位；坐位者，每2小时臀部减压。（2分）</w:t>
            </w:r>
          </w:p>
          <w:p w14:paraId="5B82EB61">
            <w:pPr>
              <w:numPr>
                <w:ilvl w:val="0"/>
                <w:numId w:val="6"/>
              </w:numPr>
              <w:snapToGrid w:val="0"/>
              <w:spacing w:before="156" w:beforeLines="50" w:after="156" w:afterLines="50"/>
              <w:jc w:val="left"/>
              <w:outlineLvl w:val="0"/>
              <w:rPr>
                <w:rFonts w:hint="eastAsia" w:ascii="仿宋" w:hAnsi="仿宋" w:eastAsia="仿宋" w:cs="仿宋"/>
                <w:kern w:val="0"/>
                <w:szCs w:val="21"/>
              </w:rPr>
            </w:pPr>
            <w:r>
              <w:rPr>
                <w:rFonts w:hint="eastAsia" w:ascii="仿宋" w:hAnsi="仿宋" w:eastAsia="仿宋" w:cs="仿宋"/>
                <w:kern w:val="0"/>
                <w:szCs w:val="21"/>
              </w:rPr>
              <w:t>做好饮食护理：①根据长者情况，在数字化系统中合理点餐，并准确发餐；②进餐时注意观察，预防噎食、抢食事件；③督促长者饭前便后洗手、饭后漱口；④做好餐盒的初步冲洗工作；⑤进食卫生安全，无过期、变质食品。（4分）</w:t>
            </w:r>
          </w:p>
          <w:p w14:paraId="488CCF1D">
            <w:pPr>
              <w:numPr>
                <w:ilvl w:val="0"/>
                <w:numId w:val="6"/>
              </w:numPr>
              <w:snapToGrid w:val="0"/>
              <w:spacing w:before="156" w:beforeLines="50" w:after="156" w:afterLines="50"/>
              <w:jc w:val="left"/>
              <w:outlineLvl w:val="0"/>
              <w:rPr>
                <w:rFonts w:hint="eastAsia" w:ascii="仿宋" w:hAnsi="仿宋" w:eastAsia="仿宋" w:cs="仿宋"/>
                <w:kern w:val="0"/>
                <w:szCs w:val="21"/>
              </w:rPr>
            </w:pPr>
            <w:r>
              <w:rPr>
                <w:rFonts w:hint="eastAsia" w:ascii="仿宋" w:hAnsi="仿宋" w:eastAsia="仿宋" w:cs="仿宋"/>
                <w:kern w:val="0"/>
                <w:szCs w:val="21"/>
              </w:rPr>
              <w:t>及时送洗长者换洗的衣物和床上用品，污染的衣物、床上用品冲洗消毒后送洗衣房。（2分）</w:t>
            </w:r>
          </w:p>
          <w:p w14:paraId="5CF2746F">
            <w:pPr>
              <w:numPr>
                <w:ilvl w:val="0"/>
                <w:numId w:val="6"/>
              </w:numPr>
              <w:snapToGrid w:val="0"/>
              <w:spacing w:before="156" w:beforeLines="50" w:after="156" w:afterLines="50"/>
              <w:jc w:val="left"/>
              <w:outlineLvl w:val="0"/>
              <w:rPr>
                <w:rFonts w:hint="eastAsia" w:ascii="仿宋" w:hAnsi="仿宋" w:eastAsia="仿宋" w:cs="仿宋"/>
                <w:kern w:val="0"/>
                <w:szCs w:val="21"/>
              </w:rPr>
            </w:pPr>
            <w:r>
              <w:rPr>
                <w:rFonts w:hint="eastAsia" w:ascii="仿宋" w:hAnsi="仿宋" w:eastAsia="仿宋" w:cs="仿宋"/>
                <w:kern w:val="0"/>
                <w:szCs w:val="21"/>
              </w:rPr>
              <w:t>遵照医嘱或家属提供的服药单协助长者服药，发药按三查七对原则，认知功能障碍长者需观察是否吞服，并观察药物有无副作用发生。（2分）</w:t>
            </w:r>
          </w:p>
          <w:p w14:paraId="5C69AB8D">
            <w:pPr>
              <w:numPr>
                <w:ilvl w:val="0"/>
                <w:numId w:val="6"/>
              </w:numPr>
              <w:snapToGrid w:val="0"/>
              <w:spacing w:before="156" w:beforeLines="50" w:after="156" w:afterLines="50"/>
              <w:jc w:val="left"/>
              <w:outlineLvl w:val="0"/>
              <w:rPr>
                <w:rFonts w:hint="eastAsia" w:ascii="仿宋" w:hAnsi="仿宋" w:eastAsia="仿宋" w:cs="仿宋"/>
                <w:kern w:val="0"/>
                <w:szCs w:val="21"/>
              </w:rPr>
            </w:pPr>
            <w:r>
              <w:rPr>
                <w:rFonts w:hint="eastAsia" w:ascii="仿宋" w:hAnsi="仿宋" w:eastAsia="仿宋" w:cs="仿宋"/>
                <w:kern w:val="0"/>
                <w:szCs w:val="21"/>
              </w:rPr>
              <w:t>每班应做好各项交接工作，清点在院长者人数，做到准确无误；（2分）</w:t>
            </w:r>
          </w:p>
          <w:p w14:paraId="5CE72945">
            <w:pPr>
              <w:numPr>
                <w:ilvl w:val="0"/>
                <w:numId w:val="6"/>
              </w:numPr>
              <w:snapToGrid w:val="0"/>
              <w:spacing w:before="156" w:beforeLines="50" w:after="156" w:afterLines="50"/>
              <w:jc w:val="left"/>
              <w:outlineLvl w:val="0"/>
              <w:rPr>
                <w:rFonts w:hint="eastAsia" w:ascii="仿宋" w:hAnsi="仿宋" w:eastAsia="仿宋" w:cs="仿宋"/>
                <w:kern w:val="0"/>
                <w:szCs w:val="21"/>
              </w:rPr>
            </w:pPr>
            <w:r>
              <w:rPr>
                <w:rFonts w:hint="eastAsia" w:ascii="仿宋" w:hAnsi="仿宋" w:eastAsia="仿宋" w:cs="仿宋"/>
                <w:kern w:val="0"/>
                <w:szCs w:val="21"/>
              </w:rPr>
              <w:t>管理责任到人，护理员对分管长者要熟记面貌与姓名，熟练掌握分管长者六知道（房间床号、年龄性别、护理要点、疾病情况、级别护理、饮食爱好）；（2分）</w:t>
            </w:r>
          </w:p>
          <w:p w14:paraId="2B272F3C">
            <w:pPr>
              <w:numPr>
                <w:ilvl w:val="0"/>
                <w:numId w:val="6"/>
              </w:numPr>
              <w:snapToGrid w:val="0"/>
              <w:spacing w:before="156" w:beforeLines="50" w:after="156" w:afterLines="50"/>
              <w:jc w:val="left"/>
              <w:outlineLvl w:val="0"/>
              <w:rPr>
                <w:rFonts w:hint="eastAsia" w:ascii="仿宋" w:hAnsi="仿宋" w:eastAsia="仿宋" w:cs="仿宋"/>
                <w:szCs w:val="21"/>
              </w:rPr>
            </w:pPr>
            <w:r>
              <w:rPr>
                <w:rFonts w:hint="eastAsia" w:ascii="仿宋" w:hAnsi="仿宋" w:eastAsia="仿宋" w:cs="仿宋"/>
                <w:kern w:val="0"/>
                <w:szCs w:val="21"/>
              </w:rPr>
              <w:t>根据护理等级做好巡视工作：2小时巡视一次。（4分）</w:t>
            </w:r>
          </w:p>
          <w:p w14:paraId="194BCB3E">
            <w:pPr>
              <w:numPr>
                <w:ilvl w:val="0"/>
                <w:numId w:val="6"/>
              </w:numPr>
              <w:snapToGrid w:val="0"/>
              <w:spacing w:before="156" w:beforeLines="50" w:after="156" w:afterLines="50"/>
              <w:jc w:val="left"/>
              <w:outlineLvl w:val="0"/>
              <w:rPr>
                <w:rFonts w:hint="eastAsia" w:ascii="仿宋" w:hAnsi="仿宋" w:eastAsia="仿宋" w:cs="仿宋"/>
                <w:szCs w:val="21"/>
              </w:rPr>
            </w:pPr>
            <w:r>
              <w:rPr>
                <w:rFonts w:hint="eastAsia" w:ascii="仿宋" w:hAnsi="仿宋" w:eastAsia="仿宋" w:cs="仿宋"/>
                <w:kern w:val="0"/>
                <w:szCs w:val="21"/>
              </w:rPr>
              <w:t>及时接应紧急呼叫，做到3分钟内到场处理。（4分）</w:t>
            </w:r>
          </w:p>
        </w:tc>
        <w:tc>
          <w:tcPr>
            <w:tcW w:w="492" w:type="dxa"/>
          </w:tcPr>
          <w:p w14:paraId="0BC0D714">
            <w:pPr>
              <w:snapToGrid w:val="0"/>
              <w:spacing w:before="156" w:beforeLines="50" w:after="156" w:afterLines="50" w:line="360" w:lineRule="auto"/>
              <w:jc w:val="center"/>
              <w:outlineLvl w:val="0"/>
              <w:rPr>
                <w:rFonts w:hint="eastAsia" w:ascii="仿宋" w:hAnsi="仿宋" w:eastAsia="仿宋" w:cs="仿宋"/>
                <w:szCs w:val="21"/>
              </w:rPr>
            </w:pPr>
            <w:r>
              <w:rPr>
                <w:rFonts w:hint="eastAsia" w:ascii="仿宋" w:hAnsi="仿宋" w:eastAsia="仿宋" w:cs="仿宋"/>
                <w:szCs w:val="21"/>
              </w:rPr>
              <w:t>26</w:t>
            </w:r>
          </w:p>
        </w:tc>
        <w:tc>
          <w:tcPr>
            <w:tcW w:w="456" w:type="dxa"/>
          </w:tcPr>
          <w:p w14:paraId="0007CDAC">
            <w:pPr>
              <w:snapToGrid w:val="0"/>
              <w:spacing w:before="156" w:beforeLines="50" w:after="156" w:afterLines="50" w:line="360" w:lineRule="auto"/>
              <w:jc w:val="center"/>
              <w:outlineLvl w:val="0"/>
              <w:rPr>
                <w:rFonts w:hint="eastAsia" w:ascii="仿宋" w:hAnsi="仿宋" w:eastAsia="仿宋" w:cs="仿宋"/>
                <w:szCs w:val="21"/>
              </w:rPr>
            </w:pPr>
          </w:p>
        </w:tc>
        <w:tc>
          <w:tcPr>
            <w:tcW w:w="1337" w:type="dxa"/>
          </w:tcPr>
          <w:p w14:paraId="4669E3D3">
            <w:pPr>
              <w:snapToGrid w:val="0"/>
              <w:spacing w:before="156" w:beforeLines="50" w:after="156" w:afterLines="50"/>
              <w:jc w:val="center"/>
              <w:outlineLvl w:val="0"/>
              <w:rPr>
                <w:rFonts w:hint="eastAsia" w:ascii="仿宋" w:hAnsi="仿宋" w:eastAsia="仿宋" w:cs="仿宋"/>
                <w:szCs w:val="21"/>
              </w:rPr>
            </w:pPr>
            <w:r>
              <w:rPr>
                <w:rFonts w:hint="eastAsia" w:ascii="仿宋" w:hAnsi="仿宋" w:eastAsia="仿宋" w:cs="仿宋"/>
                <w:szCs w:val="21"/>
              </w:rPr>
              <w:t>每1处不符扣1分，扣完为止。</w:t>
            </w:r>
          </w:p>
        </w:tc>
      </w:tr>
      <w:tr w14:paraId="6E5B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4" w:hRule="atLeast"/>
        </w:trPr>
        <w:tc>
          <w:tcPr>
            <w:tcW w:w="1201" w:type="dxa"/>
            <w:vAlign w:val="center"/>
          </w:tcPr>
          <w:p w14:paraId="675E6DBE">
            <w:pPr>
              <w:snapToGrid w:val="0"/>
              <w:spacing w:before="156" w:beforeLines="50" w:after="156" w:afterLines="50" w:line="360" w:lineRule="auto"/>
              <w:outlineLvl w:val="0"/>
              <w:rPr>
                <w:rFonts w:hint="eastAsia" w:ascii="仿宋" w:hAnsi="仿宋" w:eastAsia="仿宋" w:cs="仿宋"/>
                <w:sz w:val="24"/>
              </w:rPr>
            </w:pPr>
            <w:r>
              <w:rPr>
                <w:rFonts w:hint="eastAsia" w:ascii="仿宋" w:hAnsi="仿宋" w:eastAsia="仿宋" w:cs="仿宋"/>
                <w:szCs w:val="21"/>
              </w:rPr>
              <w:t>安全管理</w:t>
            </w:r>
          </w:p>
        </w:tc>
        <w:tc>
          <w:tcPr>
            <w:tcW w:w="5850" w:type="dxa"/>
            <w:vAlign w:val="center"/>
          </w:tcPr>
          <w:p w14:paraId="2CA509E9">
            <w:pPr>
              <w:widowControl/>
              <w:numPr>
                <w:ilvl w:val="0"/>
                <w:numId w:val="7"/>
              </w:numPr>
              <w:jc w:val="left"/>
              <w:textAlignment w:val="center"/>
              <w:rPr>
                <w:rFonts w:hint="eastAsia" w:ascii="仿宋" w:hAnsi="仿宋" w:eastAsia="仿宋" w:cs="仿宋"/>
                <w:kern w:val="0"/>
                <w:szCs w:val="21"/>
              </w:rPr>
            </w:pPr>
            <w:r>
              <w:rPr>
                <w:rFonts w:hint="eastAsia" w:ascii="仿宋" w:hAnsi="仿宋" w:eastAsia="仿宋" w:cs="仿宋"/>
                <w:kern w:val="0"/>
                <w:szCs w:val="21"/>
              </w:rPr>
              <w:t>护理人员规范应用各项操作技能，需要使用保护性约束的长者，在家属签署同意使用保护性约束协议书后，按规范动作进行保护性约束；（2分）</w:t>
            </w:r>
          </w:p>
          <w:p w14:paraId="5279FB19">
            <w:pPr>
              <w:widowControl/>
              <w:numPr>
                <w:ilvl w:val="0"/>
                <w:numId w:val="7"/>
              </w:numPr>
              <w:jc w:val="left"/>
              <w:textAlignment w:val="center"/>
              <w:rPr>
                <w:rFonts w:hint="eastAsia" w:ascii="仿宋" w:hAnsi="仿宋" w:eastAsia="仿宋" w:cs="仿宋"/>
                <w:kern w:val="0"/>
                <w:szCs w:val="21"/>
              </w:rPr>
            </w:pPr>
            <w:r>
              <w:rPr>
                <w:rFonts w:hint="eastAsia" w:ascii="仿宋" w:hAnsi="仿宋" w:eastAsia="仿宋" w:cs="仿宋"/>
                <w:kern w:val="0"/>
                <w:szCs w:val="21"/>
              </w:rPr>
              <w:t>护理员熟练掌握各类应急预案，了解发生意外事件的应急处理流程；（2分）</w:t>
            </w:r>
          </w:p>
          <w:p w14:paraId="2CA2C48D">
            <w:pPr>
              <w:widowControl/>
              <w:numPr>
                <w:ilvl w:val="0"/>
                <w:numId w:val="7"/>
              </w:numPr>
              <w:jc w:val="left"/>
              <w:textAlignment w:val="center"/>
              <w:rPr>
                <w:rFonts w:hint="eastAsia" w:ascii="仿宋" w:hAnsi="仿宋" w:eastAsia="仿宋" w:cs="仿宋"/>
                <w:kern w:val="0"/>
                <w:szCs w:val="21"/>
              </w:rPr>
            </w:pPr>
            <w:r>
              <w:rPr>
                <w:rFonts w:hint="eastAsia" w:ascii="仿宋" w:hAnsi="仿宋" w:eastAsia="仿宋" w:cs="仿宋"/>
                <w:kern w:val="0"/>
                <w:szCs w:val="21"/>
              </w:rPr>
              <w:t>不发生因服务不到位产生的意外（不良）事件。意外事件包括噎食、跌倒、坠床、烫伤、压疮、自杀、走失、用药错误、暴力行为等。发生任何一起意外事件，均需在采取应急措施后立刻报告给采购方，事后均需提交意外事件处理说明。（2分）</w:t>
            </w:r>
          </w:p>
          <w:p w14:paraId="7B5B2039">
            <w:pPr>
              <w:widowControl/>
              <w:numPr>
                <w:ilvl w:val="0"/>
                <w:numId w:val="7"/>
              </w:numPr>
              <w:jc w:val="left"/>
              <w:textAlignment w:val="center"/>
              <w:rPr>
                <w:rFonts w:hint="eastAsia" w:ascii="仿宋" w:hAnsi="仿宋" w:eastAsia="仿宋" w:cs="仿宋"/>
                <w:kern w:val="0"/>
                <w:szCs w:val="21"/>
              </w:rPr>
            </w:pPr>
            <w:r>
              <w:rPr>
                <w:rFonts w:hint="eastAsia" w:ascii="仿宋" w:hAnsi="仿宋" w:eastAsia="仿宋" w:cs="仿宋"/>
                <w:kern w:val="0"/>
                <w:szCs w:val="21"/>
              </w:rPr>
              <w:t>消防安全：在院内禁止使用大功率电器和烹饪电器，熟悉消防安全相关知识，懂得使用报警设备，懂得灭火器和防烟面具的使用，懂得组织逃生疏散等。（2分）</w:t>
            </w:r>
          </w:p>
          <w:p w14:paraId="71F02417">
            <w:pPr>
              <w:numPr>
                <w:ilvl w:val="0"/>
                <w:numId w:val="7"/>
              </w:numPr>
              <w:snapToGrid w:val="0"/>
              <w:spacing w:before="156" w:beforeLines="50" w:after="156" w:afterLines="50"/>
              <w:jc w:val="left"/>
              <w:outlineLvl w:val="0"/>
              <w:rPr>
                <w:rFonts w:hint="eastAsia" w:ascii="仿宋" w:hAnsi="仿宋" w:eastAsia="仿宋" w:cs="仿宋"/>
                <w:kern w:val="0"/>
                <w:szCs w:val="21"/>
              </w:rPr>
            </w:pPr>
            <w:r>
              <w:rPr>
                <w:rFonts w:hint="eastAsia" w:ascii="仿宋" w:hAnsi="仿宋" w:eastAsia="仿宋" w:cs="仿宋"/>
                <w:kern w:val="0"/>
                <w:szCs w:val="21"/>
              </w:rPr>
              <w:t>安全规范使用电器设备，如空调、风扇、电视机、微波炉、热水器等电器，除规定区域外无大功率违规电器楼层微波炉无因使用和管理不当导致的消防报警事件等发生。（2分）</w:t>
            </w:r>
          </w:p>
          <w:p w14:paraId="24A56A16">
            <w:pPr>
              <w:numPr>
                <w:ilvl w:val="0"/>
                <w:numId w:val="7"/>
              </w:numPr>
              <w:snapToGrid w:val="0"/>
              <w:spacing w:before="156" w:beforeLines="50" w:after="156" w:afterLines="50"/>
              <w:jc w:val="left"/>
              <w:outlineLvl w:val="0"/>
              <w:rPr>
                <w:rFonts w:hint="eastAsia" w:ascii="仿宋" w:hAnsi="仿宋" w:eastAsia="仿宋" w:cs="仿宋"/>
                <w:kern w:val="0"/>
                <w:szCs w:val="21"/>
              </w:rPr>
            </w:pPr>
            <w:r>
              <w:rPr>
                <w:rFonts w:hint="eastAsia" w:ascii="仿宋" w:hAnsi="仿宋" w:eastAsia="仿宋" w:cs="仿宋"/>
                <w:kern w:val="0"/>
                <w:szCs w:val="21"/>
              </w:rPr>
              <w:t>安全通道保持通畅，不堆放杂物；消防通道能够及时打开，常闭式防火门保持关闭状态。（2分）</w:t>
            </w:r>
          </w:p>
          <w:p w14:paraId="78E39ED6">
            <w:pPr>
              <w:numPr>
                <w:ilvl w:val="0"/>
                <w:numId w:val="7"/>
              </w:numPr>
              <w:snapToGrid w:val="0"/>
              <w:spacing w:before="156" w:beforeLines="50" w:after="156" w:afterLines="50"/>
              <w:jc w:val="left"/>
              <w:outlineLvl w:val="0"/>
              <w:rPr>
                <w:rFonts w:hint="eastAsia" w:ascii="仿宋" w:hAnsi="仿宋" w:eastAsia="仿宋" w:cs="仿宋"/>
                <w:kern w:val="0"/>
                <w:szCs w:val="21"/>
              </w:rPr>
            </w:pPr>
            <w:r>
              <w:rPr>
                <w:rFonts w:hint="eastAsia" w:ascii="仿宋" w:hAnsi="仿宋" w:eastAsia="仿宋" w:cs="仿宋"/>
                <w:kern w:val="0"/>
                <w:szCs w:val="21"/>
              </w:rPr>
              <w:t>严禁使用明火，严禁在房间内吸烟、使用蚊香等。（2分）</w:t>
            </w:r>
          </w:p>
          <w:p w14:paraId="4F517792">
            <w:pPr>
              <w:numPr>
                <w:ilvl w:val="0"/>
                <w:numId w:val="7"/>
              </w:numPr>
              <w:snapToGrid w:val="0"/>
              <w:spacing w:before="156" w:beforeLines="50" w:after="156" w:afterLines="50"/>
              <w:jc w:val="left"/>
              <w:outlineLvl w:val="0"/>
              <w:rPr>
                <w:rFonts w:hint="eastAsia" w:ascii="仿宋" w:hAnsi="仿宋" w:eastAsia="仿宋" w:cs="仿宋"/>
                <w:kern w:val="0"/>
                <w:szCs w:val="21"/>
              </w:rPr>
            </w:pPr>
            <w:r>
              <w:rPr>
                <w:rFonts w:hint="eastAsia" w:ascii="仿宋" w:hAnsi="仿宋" w:eastAsia="仿宋" w:cs="仿宋"/>
                <w:kern w:val="0"/>
                <w:szCs w:val="21"/>
              </w:rPr>
              <w:t>定期检查老年人房间内食品、药品，协助处理过期变质食品和药品，与老年人和家属做好沟通，并记录在册。（2分）</w:t>
            </w:r>
          </w:p>
          <w:p w14:paraId="0364F163">
            <w:pPr>
              <w:numPr>
                <w:ilvl w:val="0"/>
                <w:numId w:val="7"/>
              </w:numPr>
              <w:snapToGrid w:val="0"/>
              <w:spacing w:before="156" w:beforeLines="50" w:after="156" w:afterLines="50"/>
              <w:jc w:val="left"/>
              <w:outlineLvl w:val="0"/>
              <w:rPr>
                <w:rFonts w:hint="eastAsia" w:ascii="仿宋" w:hAnsi="仿宋" w:eastAsia="仿宋" w:cs="仿宋"/>
                <w:kern w:val="0"/>
                <w:szCs w:val="21"/>
              </w:rPr>
            </w:pPr>
            <w:r>
              <w:rPr>
                <w:rFonts w:hint="eastAsia" w:ascii="仿宋" w:hAnsi="仿宋" w:eastAsia="仿宋" w:cs="仿宋"/>
                <w:kern w:val="0"/>
                <w:szCs w:val="21"/>
              </w:rPr>
              <w:t>送开水时将老年人开水瓶送到房间，每日检查开水瓶质量，送开水过程中无烫伤事故发生等，保持开水瓶干净卫生（2分）</w:t>
            </w:r>
          </w:p>
          <w:p w14:paraId="528D122B">
            <w:pPr>
              <w:numPr>
                <w:ilvl w:val="0"/>
                <w:numId w:val="7"/>
              </w:numPr>
              <w:snapToGrid w:val="0"/>
              <w:spacing w:before="156" w:beforeLines="50" w:after="156" w:afterLines="50"/>
              <w:jc w:val="left"/>
              <w:outlineLvl w:val="0"/>
              <w:rPr>
                <w:rFonts w:hint="eastAsia" w:ascii="仿宋" w:hAnsi="仿宋" w:eastAsia="仿宋" w:cs="仿宋"/>
                <w:kern w:val="0"/>
                <w:szCs w:val="21"/>
              </w:rPr>
            </w:pPr>
            <w:r>
              <w:rPr>
                <w:rFonts w:hint="eastAsia" w:ascii="仿宋" w:hAnsi="仿宋" w:eastAsia="仿宋" w:cs="仿宋"/>
                <w:kern w:val="0"/>
                <w:szCs w:val="21"/>
              </w:rPr>
              <w:t>廉政安全：不允许接受服务对象的红包、购物卡等财务，工作人员做到廉洁自律。（2分）</w:t>
            </w:r>
          </w:p>
        </w:tc>
        <w:tc>
          <w:tcPr>
            <w:tcW w:w="492" w:type="dxa"/>
          </w:tcPr>
          <w:p w14:paraId="08FEE619">
            <w:pPr>
              <w:snapToGrid w:val="0"/>
              <w:spacing w:before="156" w:beforeLines="50" w:after="156" w:afterLines="50" w:line="360" w:lineRule="auto"/>
              <w:jc w:val="center"/>
              <w:outlineLvl w:val="0"/>
              <w:rPr>
                <w:rFonts w:hint="eastAsia" w:ascii="仿宋" w:hAnsi="仿宋" w:eastAsia="仿宋" w:cs="仿宋"/>
                <w:sz w:val="24"/>
              </w:rPr>
            </w:pPr>
            <w:r>
              <w:rPr>
                <w:rFonts w:hint="eastAsia" w:ascii="仿宋" w:hAnsi="仿宋" w:eastAsia="仿宋" w:cs="仿宋"/>
                <w:sz w:val="24"/>
              </w:rPr>
              <w:t>20</w:t>
            </w:r>
          </w:p>
        </w:tc>
        <w:tc>
          <w:tcPr>
            <w:tcW w:w="456" w:type="dxa"/>
          </w:tcPr>
          <w:p w14:paraId="35CE04D4">
            <w:pPr>
              <w:snapToGrid w:val="0"/>
              <w:spacing w:before="156" w:beforeLines="50" w:after="156" w:afterLines="50" w:line="360" w:lineRule="auto"/>
              <w:jc w:val="center"/>
              <w:outlineLvl w:val="0"/>
              <w:rPr>
                <w:rFonts w:hint="eastAsia" w:ascii="仿宋" w:hAnsi="仿宋" w:eastAsia="仿宋" w:cs="仿宋"/>
                <w:sz w:val="24"/>
              </w:rPr>
            </w:pPr>
          </w:p>
        </w:tc>
        <w:tc>
          <w:tcPr>
            <w:tcW w:w="1337" w:type="dxa"/>
          </w:tcPr>
          <w:p w14:paraId="3B9C1840">
            <w:pPr>
              <w:snapToGrid w:val="0"/>
              <w:spacing w:before="156" w:beforeLines="50" w:after="156" w:afterLines="50"/>
              <w:jc w:val="center"/>
              <w:outlineLvl w:val="0"/>
              <w:rPr>
                <w:rFonts w:hint="eastAsia" w:ascii="仿宋" w:hAnsi="仿宋" w:eastAsia="仿宋" w:cs="仿宋"/>
                <w:sz w:val="24"/>
              </w:rPr>
            </w:pPr>
            <w:r>
              <w:rPr>
                <w:rFonts w:hint="eastAsia" w:ascii="仿宋" w:hAnsi="仿宋" w:eastAsia="仿宋" w:cs="仿宋"/>
                <w:szCs w:val="21"/>
              </w:rPr>
              <w:t>每1处不符扣1分，扣完为止。</w:t>
            </w:r>
          </w:p>
        </w:tc>
      </w:tr>
      <w:tr w14:paraId="0635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1" w:type="dxa"/>
            <w:vAlign w:val="center"/>
          </w:tcPr>
          <w:p w14:paraId="397DD1F4">
            <w:pPr>
              <w:snapToGrid w:val="0"/>
              <w:spacing w:before="156" w:beforeLines="50" w:after="156" w:afterLines="50" w:line="360" w:lineRule="auto"/>
              <w:jc w:val="center"/>
              <w:outlineLvl w:val="0"/>
              <w:rPr>
                <w:rFonts w:hint="eastAsia" w:ascii="仿宋" w:hAnsi="仿宋" w:eastAsia="仿宋" w:cs="仿宋"/>
                <w:sz w:val="24"/>
              </w:rPr>
            </w:pPr>
            <w:r>
              <w:rPr>
                <w:rFonts w:hint="eastAsia" w:ascii="仿宋" w:hAnsi="仿宋" w:eastAsia="仿宋" w:cs="仿宋"/>
                <w:bCs/>
                <w:kern w:val="0"/>
                <w:szCs w:val="21"/>
              </w:rPr>
              <w:t>院感消毒</w:t>
            </w:r>
          </w:p>
        </w:tc>
        <w:tc>
          <w:tcPr>
            <w:tcW w:w="5850" w:type="dxa"/>
            <w:vAlign w:val="center"/>
          </w:tcPr>
          <w:p w14:paraId="2AEC408E">
            <w:pPr>
              <w:widowControl/>
              <w:numPr>
                <w:ilvl w:val="0"/>
                <w:numId w:val="8"/>
              </w:numPr>
              <w:jc w:val="left"/>
              <w:textAlignment w:val="center"/>
              <w:rPr>
                <w:rFonts w:hint="eastAsia" w:ascii="仿宋" w:hAnsi="仿宋" w:eastAsia="仿宋" w:cs="仿宋"/>
                <w:kern w:val="0"/>
                <w:szCs w:val="21"/>
              </w:rPr>
            </w:pPr>
            <w:r>
              <w:rPr>
                <w:rFonts w:hint="eastAsia" w:ascii="仿宋" w:hAnsi="仿宋" w:eastAsia="仿宋" w:cs="仿宋"/>
                <w:kern w:val="0"/>
                <w:szCs w:val="21"/>
              </w:rPr>
              <w:t>地面、床单位、床头柜、洗漱台盆、座便器等，每周使用含氯消毒剂消毒两次；选用合适的消毒液，掌握正确的配置浓度及消毒方式。（1分）</w:t>
            </w:r>
          </w:p>
          <w:p w14:paraId="447542EE">
            <w:pPr>
              <w:widowControl/>
              <w:numPr>
                <w:ilvl w:val="0"/>
                <w:numId w:val="8"/>
              </w:numPr>
              <w:jc w:val="left"/>
              <w:textAlignment w:val="center"/>
              <w:rPr>
                <w:rFonts w:hint="eastAsia" w:ascii="仿宋" w:hAnsi="仿宋" w:eastAsia="仿宋" w:cs="仿宋"/>
                <w:kern w:val="0"/>
                <w:szCs w:val="21"/>
              </w:rPr>
            </w:pPr>
            <w:r>
              <w:rPr>
                <w:rFonts w:hint="eastAsia" w:ascii="仿宋" w:hAnsi="仿宋" w:eastAsia="仿宋" w:cs="仿宋"/>
                <w:kern w:val="0"/>
                <w:szCs w:val="21"/>
              </w:rPr>
              <w:t>卫生工具要分类标记，抹布分色标记使用，拖把及扫帚按照区域分类标记使用。（1分）</w:t>
            </w:r>
          </w:p>
          <w:p w14:paraId="619578E7">
            <w:pPr>
              <w:widowControl/>
              <w:jc w:val="left"/>
              <w:textAlignment w:val="center"/>
              <w:rPr>
                <w:rFonts w:hint="eastAsia" w:ascii="仿宋" w:hAnsi="仿宋" w:eastAsia="仿宋" w:cs="仿宋"/>
                <w:kern w:val="0"/>
                <w:szCs w:val="21"/>
              </w:rPr>
            </w:pPr>
            <w:r>
              <w:rPr>
                <w:rFonts w:hint="eastAsia" w:ascii="仿宋" w:hAnsi="仿宋" w:eastAsia="仿宋" w:cs="仿宋"/>
                <w:kern w:val="0"/>
                <w:szCs w:val="21"/>
              </w:rPr>
              <w:t>3、居室每日通风2次，每次至少30分钟。（1分）</w:t>
            </w:r>
          </w:p>
          <w:p w14:paraId="3E4C2AF5">
            <w:pPr>
              <w:widowControl/>
              <w:jc w:val="left"/>
              <w:textAlignment w:val="center"/>
              <w:rPr>
                <w:rFonts w:hint="eastAsia" w:ascii="仿宋" w:hAnsi="仿宋" w:eastAsia="仿宋" w:cs="仿宋"/>
                <w:kern w:val="0"/>
                <w:szCs w:val="21"/>
              </w:rPr>
            </w:pPr>
            <w:r>
              <w:rPr>
                <w:rFonts w:hint="eastAsia" w:ascii="仿宋" w:hAnsi="仿宋" w:eastAsia="仿宋" w:cs="仿宋"/>
                <w:kern w:val="0"/>
                <w:szCs w:val="21"/>
              </w:rPr>
              <w:t>4、物品遭污染要及时消毒，老年人死亡、离院后，做好终末消毒。（1分）</w:t>
            </w:r>
          </w:p>
          <w:p w14:paraId="0B18C835">
            <w:pPr>
              <w:widowControl/>
              <w:jc w:val="left"/>
              <w:textAlignment w:val="center"/>
              <w:rPr>
                <w:rFonts w:hint="eastAsia" w:ascii="仿宋" w:hAnsi="仿宋" w:eastAsia="仿宋" w:cs="仿宋"/>
                <w:kern w:val="0"/>
                <w:szCs w:val="21"/>
              </w:rPr>
            </w:pPr>
            <w:r>
              <w:rPr>
                <w:rFonts w:hint="eastAsia" w:ascii="仿宋" w:hAnsi="仿宋" w:eastAsia="仿宋" w:cs="仿宋"/>
                <w:kern w:val="0"/>
                <w:szCs w:val="21"/>
              </w:rPr>
              <w:t>5、各项消毒均登记在册，真实、及时、准确记录。</w:t>
            </w:r>
          </w:p>
        </w:tc>
        <w:tc>
          <w:tcPr>
            <w:tcW w:w="492" w:type="dxa"/>
          </w:tcPr>
          <w:p w14:paraId="50C54C81">
            <w:pPr>
              <w:snapToGrid w:val="0"/>
              <w:spacing w:before="156" w:beforeLines="50" w:after="156" w:afterLines="50" w:line="360" w:lineRule="auto"/>
              <w:jc w:val="center"/>
              <w:outlineLvl w:val="0"/>
              <w:rPr>
                <w:rFonts w:hint="eastAsia" w:ascii="仿宋" w:hAnsi="仿宋" w:eastAsia="仿宋" w:cs="仿宋"/>
                <w:sz w:val="24"/>
              </w:rPr>
            </w:pPr>
            <w:r>
              <w:rPr>
                <w:rFonts w:hint="eastAsia" w:ascii="仿宋" w:hAnsi="仿宋" w:eastAsia="仿宋" w:cs="仿宋"/>
                <w:sz w:val="24"/>
              </w:rPr>
              <w:t>5</w:t>
            </w:r>
          </w:p>
        </w:tc>
        <w:tc>
          <w:tcPr>
            <w:tcW w:w="456" w:type="dxa"/>
          </w:tcPr>
          <w:p w14:paraId="3C14D3FE">
            <w:pPr>
              <w:snapToGrid w:val="0"/>
              <w:spacing w:before="156" w:beforeLines="50" w:after="156" w:afterLines="50" w:line="360" w:lineRule="auto"/>
              <w:jc w:val="center"/>
              <w:outlineLvl w:val="0"/>
              <w:rPr>
                <w:rFonts w:hint="eastAsia" w:ascii="仿宋" w:hAnsi="仿宋" w:eastAsia="仿宋" w:cs="仿宋"/>
                <w:sz w:val="24"/>
              </w:rPr>
            </w:pPr>
          </w:p>
        </w:tc>
        <w:tc>
          <w:tcPr>
            <w:tcW w:w="1337" w:type="dxa"/>
          </w:tcPr>
          <w:p w14:paraId="06159D08">
            <w:pPr>
              <w:snapToGrid w:val="0"/>
              <w:spacing w:before="156" w:beforeLines="50" w:after="156" w:afterLines="50"/>
              <w:jc w:val="center"/>
              <w:outlineLvl w:val="0"/>
              <w:rPr>
                <w:rFonts w:hint="eastAsia" w:ascii="仿宋" w:hAnsi="仿宋" w:eastAsia="仿宋" w:cs="仿宋"/>
                <w:sz w:val="24"/>
              </w:rPr>
            </w:pPr>
            <w:r>
              <w:rPr>
                <w:rFonts w:hint="eastAsia" w:ascii="仿宋" w:hAnsi="仿宋" w:eastAsia="仿宋" w:cs="仿宋"/>
                <w:szCs w:val="21"/>
              </w:rPr>
              <w:t>每1处不符扣1分，扣完为止。</w:t>
            </w:r>
          </w:p>
        </w:tc>
      </w:tr>
      <w:tr w14:paraId="4313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201" w:type="dxa"/>
            <w:vAlign w:val="center"/>
          </w:tcPr>
          <w:p w14:paraId="5C44AA42">
            <w:pPr>
              <w:snapToGrid w:val="0"/>
              <w:spacing w:before="156" w:beforeLines="50" w:after="156" w:afterLines="50" w:line="360" w:lineRule="auto"/>
              <w:jc w:val="center"/>
              <w:outlineLvl w:val="0"/>
              <w:rPr>
                <w:rFonts w:hint="eastAsia" w:ascii="仿宋" w:hAnsi="仿宋" w:eastAsia="仿宋" w:cs="仿宋"/>
                <w:sz w:val="24"/>
              </w:rPr>
            </w:pPr>
            <w:r>
              <w:rPr>
                <w:rFonts w:hint="eastAsia" w:ascii="仿宋" w:hAnsi="仿宋" w:eastAsia="仿宋" w:cs="仿宋"/>
                <w:bCs/>
                <w:kern w:val="0"/>
                <w:szCs w:val="21"/>
              </w:rPr>
              <w:t>夜间护理</w:t>
            </w:r>
          </w:p>
        </w:tc>
        <w:tc>
          <w:tcPr>
            <w:tcW w:w="5850" w:type="dxa"/>
            <w:vAlign w:val="center"/>
          </w:tcPr>
          <w:p w14:paraId="51448968">
            <w:pPr>
              <w:widowControl/>
              <w:numPr>
                <w:ilvl w:val="0"/>
                <w:numId w:val="9"/>
              </w:numPr>
              <w:jc w:val="left"/>
              <w:textAlignment w:val="center"/>
              <w:rPr>
                <w:rFonts w:hint="eastAsia" w:ascii="仿宋" w:hAnsi="仿宋" w:eastAsia="仿宋" w:cs="仿宋"/>
                <w:kern w:val="0"/>
                <w:szCs w:val="21"/>
              </w:rPr>
            </w:pPr>
            <w:r>
              <w:rPr>
                <w:rFonts w:hint="eastAsia" w:ascii="仿宋" w:hAnsi="仿宋" w:eastAsia="仿宋" w:cs="仿宋"/>
                <w:kern w:val="0"/>
                <w:szCs w:val="21"/>
              </w:rPr>
              <w:t>了解长者人数、去向、基本情况，以及特殊病情变化，并做好台账记录。（2分）</w:t>
            </w:r>
          </w:p>
          <w:p w14:paraId="4D58360B">
            <w:pPr>
              <w:widowControl/>
              <w:numPr>
                <w:ilvl w:val="0"/>
                <w:numId w:val="9"/>
              </w:numPr>
              <w:jc w:val="left"/>
              <w:textAlignment w:val="center"/>
              <w:rPr>
                <w:rFonts w:hint="eastAsia" w:ascii="仿宋" w:hAnsi="仿宋" w:eastAsia="仿宋" w:cs="仿宋"/>
                <w:kern w:val="0"/>
                <w:szCs w:val="21"/>
              </w:rPr>
            </w:pPr>
            <w:r>
              <w:rPr>
                <w:rFonts w:hint="eastAsia" w:ascii="仿宋" w:hAnsi="仿宋" w:eastAsia="仿宋" w:cs="仿宋"/>
                <w:kern w:val="0"/>
                <w:szCs w:val="21"/>
              </w:rPr>
              <w:t>上班时做到四轻（走路轻、说话轻、操作轻、关门轻），不穿高跟鞋和硬底鞋。（2分）</w:t>
            </w:r>
          </w:p>
          <w:p w14:paraId="4C1E26FA">
            <w:pPr>
              <w:widowControl/>
              <w:numPr>
                <w:ilvl w:val="0"/>
                <w:numId w:val="9"/>
              </w:numPr>
              <w:jc w:val="left"/>
              <w:textAlignment w:val="center"/>
              <w:rPr>
                <w:rFonts w:hint="eastAsia" w:ascii="仿宋" w:hAnsi="仿宋" w:eastAsia="仿宋" w:cs="仿宋"/>
                <w:kern w:val="0"/>
                <w:szCs w:val="21"/>
              </w:rPr>
            </w:pPr>
            <w:r>
              <w:rPr>
                <w:rFonts w:hint="eastAsia" w:ascii="仿宋" w:hAnsi="仿宋" w:eastAsia="仿宋" w:cs="仿宋"/>
                <w:kern w:val="0"/>
                <w:szCs w:val="21"/>
              </w:rPr>
              <w:t>夜间主动巡视长者，注意观察长者睡眠、呼吸情况，及时为长者补充水分，注意保暖。（1分）</w:t>
            </w:r>
          </w:p>
          <w:p w14:paraId="3BCA1CA3">
            <w:pPr>
              <w:widowControl/>
              <w:numPr>
                <w:ilvl w:val="0"/>
                <w:numId w:val="9"/>
              </w:numPr>
              <w:jc w:val="left"/>
              <w:textAlignment w:val="center"/>
              <w:rPr>
                <w:rFonts w:hint="eastAsia" w:ascii="仿宋" w:hAnsi="仿宋" w:eastAsia="仿宋" w:cs="仿宋"/>
                <w:kern w:val="0"/>
                <w:szCs w:val="21"/>
              </w:rPr>
            </w:pPr>
            <w:r>
              <w:rPr>
                <w:rFonts w:hint="eastAsia" w:ascii="仿宋" w:hAnsi="仿宋" w:eastAsia="仿宋" w:cs="仿宋"/>
                <w:kern w:val="0"/>
                <w:szCs w:val="21"/>
              </w:rPr>
              <w:t>及时协助卧床长者定时翻身；协助长者夜间如厕，防止摔伤；协助失能长者大小便，及时更换尿不湿、尿袋等。（1分）</w:t>
            </w:r>
          </w:p>
          <w:p w14:paraId="53B96E8F">
            <w:pPr>
              <w:widowControl/>
              <w:numPr>
                <w:ilvl w:val="0"/>
                <w:numId w:val="9"/>
              </w:numPr>
              <w:jc w:val="left"/>
              <w:textAlignment w:val="center"/>
              <w:rPr>
                <w:rFonts w:hint="eastAsia" w:ascii="仿宋" w:hAnsi="仿宋" w:eastAsia="仿宋" w:cs="仿宋"/>
                <w:kern w:val="0"/>
                <w:szCs w:val="21"/>
              </w:rPr>
            </w:pPr>
            <w:r>
              <w:rPr>
                <w:rFonts w:hint="eastAsia" w:ascii="仿宋" w:hAnsi="仿宋" w:eastAsia="仿宋" w:cs="仿宋"/>
                <w:kern w:val="0"/>
                <w:szCs w:val="21"/>
              </w:rPr>
              <w:t>及时接应处理夜间紧急呼叫，做到3分钟内到场处理，若有异常及时联系医务人员和行政总值班。（2分）</w:t>
            </w:r>
          </w:p>
        </w:tc>
        <w:tc>
          <w:tcPr>
            <w:tcW w:w="492" w:type="dxa"/>
          </w:tcPr>
          <w:p w14:paraId="0BD33985">
            <w:pPr>
              <w:snapToGrid w:val="0"/>
              <w:spacing w:before="156" w:beforeLines="50" w:after="156" w:afterLines="50" w:line="360" w:lineRule="auto"/>
              <w:jc w:val="center"/>
              <w:outlineLvl w:val="0"/>
              <w:rPr>
                <w:rFonts w:hint="eastAsia" w:ascii="仿宋" w:hAnsi="仿宋" w:eastAsia="仿宋" w:cs="仿宋"/>
                <w:sz w:val="24"/>
              </w:rPr>
            </w:pPr>
            <w:r>
              <w:rPr>
                <w:rFonts w:hint="eastAsia" w:ascii="仿宋" w:hAnsi="仿宋" w:eastAsia="仿宋" w:cs="仿宋"/>
                <w:sz w:val="24"/>
              </w:rPr>
              <w:t>8</w:t>
            </w:r>
          </w:p>
        </w:tc>
        <w:tc>
          <w:tcPr>
            <w:tcW w:w="456" w:type="dxa"/>
          </w:tcPr>
          <w:p w14:paraId="4152676D">
            <w:pPr>
              <w:snapToGrid w:val="0"/>
              <w:spacing w:before="156" w:beforeLines="50" w:after="156" w:afterLines="50" w:line="360" w:lineRule="auto"/>
              <w:jc w:val="center"/>
              <w:outlineLvl w:val="0"/>
              <w:rPr>
                <w:rFonts w:hint="eastAsia" w:ascii="仿宋" w:hAnsi="仿宋" w:eastAsia="仿宋" w:cs="仿宋"/>
                <w:sz w:val="24"/>
              </w:rPr>
            </w:pPr>
          </w:p>
        </w:tc>
        <w:tc>
          <w:tcPr>
            <w:tcW w:w="1337" w:type="dxa"/>
          </w:tcPr>
          <w:p w14:paraId="11569EB6">
            <w:pPr>
              <w:snapToGrid w:val="0"/>
              <w:spacing w:before="156" w:beforeLines="50" w:after="156" w:afterLines="50"/>
              <w:jc w:val="center"/>
              <w:outlineLvl w:val="0"/>
              <w:rPr>
                <w:rFonts w:hint="eastAsia" w:ascii="仿宋" w:hAnsi="仿宋" w:eastAsia="仿宋" w:cs="仿宋"/>
                <w:sz w:val="24"/>
              </w:rPr>
            </w:pPr>
            <w:r>
              <w:rPr>
                <w:rFonts w:hint="eastAsia" w:ascii="仿宋" w:hAnsi="仿宋" w:eastAsia="仿宋" w:cs="仿宋"/>
                <w:szCs w:val="21"/>
              </w:rPr>
              <w:t>每1处不符扣1分，扣完为止。</w:t>
            </w:r>
          </w:p>
        </w:tc>
      </w:tr>
      <w:tr w14:paraId="3403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1201" w:type="dxa"/>
            <w:vAlign w:val="center"/>
          </w:tcPr>
          <w:p w14:paraId="5A161294">
            <w:pPr>
              <w:snapToGrid w:val="0"/>
              <w:spacing w:before="156" w:beforeLines="50" w:after="156" w:afterLines="50" w:line="360" w:lineRule="auto"/>
              <w:jc w:val="center"/>
              <w:outlineLvl w:val="0"/>
              <w:rPr>
                <w:rFonts w:hint="eastAsia" w:ascii="仿宋" w:hAnsi="仿宋" w:eastAsia="仿宋" w:cs="仿宋"/>
                <w:sz w:val="24"/>
              </w:rPr>
            </w:pPr>
            <w:r>
              <w:rPr>
                <w:rFonts w:hint="eastAsia" w:ascii="仿宋" w:hAnsi="仿宋" w:eastAsia="仿宋" w:cs="仿宋"/>
                <w:kern w:val="0"/>
                <w:szCs w:val="21"/>
              </w:rPr>
              <w:t>工作台帐</w:t>
            </w:r>
          </w:p>
        </w:tc>
        <w:tc>
          <w:tcPr>
            <w:tcW w:w="5850" w:type="dxa"/>
            <w:vAlign w:val="center"/>
          </w:tcPr>
          <w:p w14:paraId="1BD39B59">
            <w:pPr>
              <w:widowControl/>
              <w:numPr>
                <w:ilvl w:val="0"/>
                <w:numId w:val="10"/>
              </w:numPr>
              <w:jc w:val="left"/>
              <w:textAlignment w:val="center"/>
              <w:rPr>
                <w:rFonts w:hint="eastAsia" w:ascii="仿宋" w:hAnsi="仿宋" w:eastAsia="仿宋" w:cs="仿宋"/>
                <w:kern w:val="0"/>
                <w:szCs w:val="21"/>
              </w:rPr>
            </w:pPr>
            <w:r>
              <w:rPr>
                <w:rFonts w:hint="eastAsia" w:ascii="仿宋" w:hAnsi="仿宋" w:eastAsia="仿宋" w:cs="仿宋"/>
                <w:kern w:val="0"/>
                <w:szCs w:val="21"/>
              </w:rPr>
              <w:t>工作台帐健全，内容清晰真实，记录及时完整。（1分）</w:t>
            </w:r>
          </w:p>
          <w:p w14:paraId="1FFB682C">
            <w:pPr>
              <w:widowControl/>
              <w:numPr>
                <w:ilvl w:val="0"/>
                <w:numId w:val="10"/>
              </w:numPr>
              <w:jc w:val="left"/>
              <w:textAlignment w:val="center"/>
              <w:rPr>
                <w:rFonts w:hint="eastAsia" w:ascii="仿宋" w:hAnsi="仿宋" w:eastAsia="仿宋" w:cs="仿宋"/>
                <w:kern w:val="0"/>
                <w:szCs w:val="21"/>
              </w:rPr>
            </w:pPr>
            <w:r>
              <w:rPr>
                <w:rFonts w:hint="eastAsia" w:ascii="仿宋" w:hAnsi="仿宋" w:eastAsia="仿宋" w:cs="仿宋"/>
                <w:kern w:val="0"/>
                <w:szCs w:val="21"/>
              </w:rPr>
              <w:t>台账书写规范，字迹清楚，并做好记录人签名。（1分）</w:t>
            </w:r>
          </w:p>
          <w:p w14:paraId="0AD8145D">
            <w:pPr>
              <w:widowControl/>
              <w:numPr>
                <w:ilvl w:val="0"/>
                <w:numId w:val="10"/>
              </w:numPr>
              <w:jc w:val="left"/>
              <w:textAlignment w:val="center"/>
              <w:rPr>
                <w:rFonts w:hint="eastAsia" w:ascii="仿宋" w:hAnsi="仿宋" w:eastAsia="仿宋" w:cs="仿宋"/>
                <w:kern w:val="0"/>
                <w:szCs w:val="21"/>
              </w:rPr>
            </w:pPr>
            <w:r>
              <w:rPr>
                <w:rFonts w:hint="eastAsia" w:ascii="仿宋" w:hAnsi="仿宋" w:eastAsia="仿宋" w:cs="仿宋"/>
                <w:kern w:val="0"/>
                <w:szCs w:val="21"/>
              </w:rPr>
              <w:t>轮班、夜班按时交接，有书面记录。（1分）</w:t>
            </w:r>
          </w:p>
          <w:p w14:paraId="1E91E5FD">
            <w:pPr>
              <w:widowControl/>
              <w:numPr>
                <w:ilvl w:val="0"/>
                <w:numId w:val="10"/>
              </w:numPr>
              <w:jc w:val="left"/>
              <w:textAlignment w:val="center"/>
              <w:rPr>
                <w:rFonts w:hint="eastAsia" w:ascii="仿宋" w:hAnsi="仿宋" w:eastAsia="仿宋" w:cs="仿宋"/>
                <w:kern w:val="0"/>
                <w:szCs w:val="21"/>
              </w:rPr>
            </w:pPr>
            <w:r>
              <w:rPr>
                <w:rFonts w:hint="eastAsia" w:ascii="仿宋" w:hAnsi="仿宋" w:eastAsia="仿宋" w:cs="仿宋"/>
                <w:kern w:val="0"/>
                <w:szCs w:val="21"/>
              </w:rPr>
              <w:t>长者每次请销假应写明外出和返回时间、请假事由、何人陪同、联系电话并及时上报采购方。（1分）</w:t>
            </w:r>
          </w:p>
          <w:p w14:paraId="5E30E935">
            <w:pPr>
              <w:widowControl/>
              <w:numPr>
                <w:ilvl w:val="0"/>
                <w:numId w:val="10"/>
              </w:numPr>
              <w:jc w:val="left"/>
              <w:textAlignment w:val="center"/>
              <w:rPr>
                <w:rFonts w:hint="eastAsia" w:ascii="仿宋" w:hAnsi="仿宋" w:eastAsia="仿宋" w:cs="仿宋"/>
                <w:kern w:val="0"/>
                <w:szCs w:val="21"/>
              </w:rPr>
            </w:pPr>
            <w:r>
              <w:rPr>
                <w:rFonts w:hint="eastAsia" w:ascii="仿宋" w:hAnsi="仿宋" w:eastAsia="仿宋" w:cs="仿宋"/>
                <w:kern w:val="0"/>
                <w:szCs w:val="21"/>
              </w:rPr>
              <w:t>护理文书每月检查、存档。（1分）</w:t>
            </w:r>
          </w:p>
        </w:tc>
        <w:tc>
          <w:tcPr>
            <w:tcW w:w="492" w:type="dxa"/>
          </w:tcPr>
          <w:p w14:paraId="156F8F57">
            <w:pPr>
              <w:snapToGrid w:val="0"/>
              <w:spacing w:before="156" w:beforeLines="50" w:after="156" w:afterLines="50" w:line="360" w:lineRule="auto"/>
              <w:jc w:val="center"/>
              <w:outlineLvl w:val="0"/>
              <w:rPr>
                <w:rFonts w:hint="eastAsia" w:ascii="仿宋" w:hAnsi="仿宋" w:eastAsia="仿宋" w:cs="仿宋"/>
                <w:sz w:val="24"/>
              </w:rPr>
            </w:pPr>
            <w:r>
              <w:rPr>
                <w:rFonts w:hint="eastAsia" w:ascii="仿宋" w:hAnsi="仿宋" w:eastAsia="仿宋" w:cs="仿宋"/>
                <w:sz w:val="24"/>
              </w:rPr>
              <w:t>5</w:t>
            </w:r>
          </w:p>
        </w:tc>
        <w:tc>
          <w:tcPr>
            <w:tcW w:w="456" w:type="dxa"/>
          </w:tcPr>
          <w:p w14:paraId="73DAC475">
            <w:pPr>
              <w:snapToGrid w:val="0"/>
              <w:spacing w:before="156" w:beforeLines="50" w:after="156" w:afterLines="50" w:line="360" w:lineRule="auto"/>
              <w:jc w:val="center"/>
              <w:outlineLvl w:val="0"/>
              <w:rPr>
                <w:rFonts w:hint="eastAsia" w:ascii="仿宋" w:hAnsi="仿宋" w:eastAsia="仿宋" w:cs="仿宋"/>
                <w:sz w:val="24"/>
              </w:rPr>
            </w:pPr>
          </w:p>
        </w:tc>
        <w:tc>
          <w:tcPr>
            <w:tcW w:w="1337" w:type="dxa"/>
          </w:tcPr>
          <w:p w14:paraId="2AAFC420">
            <w:pPr>
              <w:snapToGrid w:val="0"/>
              <w:spacing w:before="156" w:beforeLines="50" w:after="156" w:afterLines="50"/>
              <w:jc w:val="center"/>
              <w:outlineLvl w:val="0"/>
              <w:rPr>
                <w:rFonts w:hint="eastAsia" w:ascii="仿宋" w:hAnsi="仿宋" w:eastAsia="仿宋" w:cs="仿宋"/>
                <w:sz w:val="24"/>
              </w:rPr>
            </w:pPr>
            <w:r>
              <w:rPr>
                <w:rFonts w:hint="eastAsia" w:ascii="仿宋" w:hAnsi="仿宋" w:eastAsia="仿宋" w:cs="仿宋"/>
                <w:szCs w:val="21"/>
              </w:rPr>
              <w:t>每1处不符扣1分，扣完为止。</w:t>
            </w:r>
          </w:p>
        </w:tc>
      </w:tr>
      <w:tr w14:paraId="22BC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201" w:type="dxa"/>
            <w:vAlign w:val="center"/>
          </w:tcPr>
          <w:p w14:paraId="116D0AE8">
            <w:pPr>
              <w:spacing w:line="300" w:lineRule="exact"/>
              <w:rPr>
                <w:rFonts w:hint="eastAsia" w:ascii="仿宋" w:hAnsi="仿宋" w:eastAsia="仿宋" w:cs="仿宋"/>
                <w:sz w:val="24"/>
              </w:rPr>
            </w:pPr>
            <w:r>
              <w:rPr>
                <w:rFonts w:hint="eastAsia" w:ascii="仿宋" w:hAnsi="仿宋" w:eastAsia="仿宋" w:cs="仿宋"/>
                <w:snapToGrid w:val="0"/>
                <w:kern w:val="0"/>
                <w:sz w:val="24"/>
              </w:rPr>
              <w:t>团队管理</w:t>
            </w:r>
          </w:p>
        </w:tc>
        <w:tc>
          <w:tcPr>
            <w:tcW w:w="5850" w:type="dxa"/>
            <w:vAlign w:val="center"/>
          </w:tcPr>
          <w:p w14:paraId="1F482AFE">
            <w:pPr>
              <w:widowControl/>
              <w:numPr>
                <w:ilvl w:val="0"/>
                <w:numId w:val="11"/>
              </w:numPr>
              <w:jc w:val="left"/>
              <w:textAlignment w:val="center"/>
              <w:rPr>
                <w:rFonts w:hint="eastAsia" w:ascii="仿宋" w:hAnsi="仿宋" w:eastAsia="仿宋" w:cs="仿宋"/>
                <w:kern w:val="0"/>
                <w:szCs w:val="21"/>
              </w:rPr>
            </w:pPr>
            <w:r>
              <w:rPr>
                <w:rFonts w:hint="eastAsia" w:ascii="仿宋" w:hAnsi="仿宋" w:eastAsia="仿宋" w:cs="仿宋"/>
                <w:kern w:val="0"/>
                <w:szCs w:val="21"/>
              </w:rPr>
              <w:t>注重礼仪：①仪容仪表：上班期间穿着工作服，仪表、着装符合要求（不佩戴影响护理工作的饰品，不留长指甲）；②言谈举止：接待家属热情、礼貌、对长者关爱、尊重，不得辱骂、取笑、指责抱怨；不隐瞒长者情况，不收受礼品、财物。（2分）</w:t>
            </w:r>
          </w:p>
          <w:p w14:paraId="2EA61B68">
            <w:pPr>
              <w:widowControl/>
              <w:numPr>
                <w:ilvl w:val="0"/>
                <w:numId w:val="11"/>
              </w:numPr>
              <w:jc w:val="left"/>
              <w:textAlignment w:val="center"/>
              <w:rPr>
                <w:rFonts w:hint="eastAsia" w:ascii="仿宋" w:hAnsi="仿宋" w:eastAsia="仿宋" w:cs="仿宋"/>
                <w:kern w:val="0"/>
                <w:szCs w:val="21"/>
              </w:rPr>
            </w:pPr>
            <w:r>
              <w:rPr>
                <w:rFonts w:hint="eastAsia" w:ascii="仿宋" w:hAnsi="仿宋" w:eastAsia="仿宋" w:cs="仿宋"/>
                <w:kern w:val="0"/>
                <w:szCs w:val="21"/>
              </w:rPr>
              <w:t>遵守劳动纪律：①准时上下班，不干私活，不聚堆聊天，不高声谈笑，上班期间禁止吸烟、喝酒、带耳麦；②不拿长者钱财物品；③服从工作安排。（1分）</w:t>
            </w:r>
          </w:p>
          <w:p w14:paraId="3576230C">
            <w:pPr>
              <w:widowControl/>
              <w:numPr>
                <w:ilvl w:val="0"/>
                <w:numId w:val="11"/>
              </w:numPr>
              <w:jc w:val="left"/>
              <w:textAlignment w:val="center"/>
              <w:rPr>
                <w:rFonts w:hint="eastAsia" w:ascii="仿宋" w:hAnsi="仿宋" w:eastAsia="仿宋" w:cs="仿宋"/>
                <w:kern w:val="0"/>
                <w:szCs w:val="21"/>
              </w:rPr>
            </w:pPr>
            <w:r>
              <w:rPr>
                <w:rFonts w:hint="eastAsia" w:ascii="仿宋" w:hAnsi="仿宋" w:eastAsia="仿宋" w:cs="仿宋"/>
                <w:kern w:val="0"/>
                <w:szCs w:val="21"/>
              </w:rPr>
              <w:t>工作人员不出现推诿扯皮事件，无打架斗殴、集聚、吵架、造假、隐瞒等问题。（1分）</w:t>
            </w:r>
          </w:p>
          <w:p w14:paraId="102B5B07">
            <w:pPr>
              <w:widowControl/>
              <w:numPr>
                <w:ilvl w:val="0"/>
                <w:numId w:val="11"/>
              </w:numPr>
              <w:jc w:val="left"/>
              <w:textAlignment w:val="center"/>
              <w:rPr>
                <w:rFonts w:hint="eastAsia" w:ascii="仿宋" w:hAnsi="仿宋" w:eastAsia="仿宋" w:cs="仿宋"/>
                <w:kern w:val="0"/>
                <w:szCs w:val="21"/>
              </w:rPr>
            </w:pPr>
            <w:r>
              <w:rPr>
                <w:rFonts w:hint="eastAsia" w:ascii="仿宋" w:hAnsi="仿宋" w:eastAsia="仿宋" w:cs="仿宋"/>
                <w:kern w:val="0"/>
                <w:szCs w:val="21"/>
              </w:rPr>
              <w:t>注重长者隐私保护：①不在公众场合随意讨论长者病情；②未经采购方审核，不准发布长者的相关影像资料。（2分）</w:t>
            </w:r>
          </w:p>
          <w:p w14:paraId="6A4FE2F3">
            <w:pPr>
              <w:widowControl/>
              <w:numPr>
                <w:ilvl w:val="0"/>
                <w:numId w:val="11"/>
              </w:numPr>
              <w:jc w:val="left"/>
              <w:textAlignment w:val="center"/>
              <w:rPr>
                <w:rFonts w:hint="eastAsia" w:ascii="仿宋" w:hAnsi="仿宋" w:eastAsia="仿宋" w:cs="仿宋"/>
                <w:kern w:val="0"/>
                <w:szCs w:val="21"/>
              </w:rPr>
            </w:pPr>
            <w:r>
              <w:rPr>
                <w:rFonts w:hint="eastAsia" w:ascii="仿宋" w:hAnsi="仿宋" w:eastAsia="仿宋" w:cs="仿宋"/>
                <w:kern w:val="0"/>
                <w:szCs w:val="21"/>
              </w:rPr>
              <w:t>做好全年护理员培训计划，每月至少组织一次的护理员培训及考核，内容涵盖入职培训、岗位职责、业务知识、技能操作等。（1分）</w:t>
            </w:r>
          </w:p>
          <w:p w14:paraId="15C26217">
            <w:pPr>
              <w:widowControl/>
              <w:numPr>
                <w:ilvl w:val="0"/>
                <w:numId w:val="11"/>
              </w:numPr>
              <w:jc w:val="left"/>
              <w:textAlignment w:val="center"/>
              <w:rPr>
                <w:rFonts w:hint="eastAsia" w:ascii="仿宋" w:hAnsi="仿宋" w:eastAsia="仿宋" w:cs="仿宋"/>
                <w:kern w:val="0"/>
                <w:szCs w:val="21"/>
              </w:rPr>
            </w:pPr>
            <w:r>
              <w:rPr>
                <w:rFonts w:hint="eastAsia" w:ascii="仿宋" w:hAnsi="仿宋" w:eastAsia="仿宋" w:cs="仿宋"/>
                <w:kern w:val="0"/>
                <w:szCs w:val="21"/>
              </w:rPr>
              <w:t>新入职员工上岗前均经过岗前培训，考核合格后方可上岗，并做好相应记录；并有将相关岗前培训书面资料台账提交采购方。（2分）</w:t>
            </w:r>
          </w:p>
          <w:p w14:paraId="5D39CFB7">
            <w:pPr>
              <w:widowControl/>
              <w:numPr>
                <w:ilvl w:val="0"/>
                <w:numId w:val="11"/>
              </w:numPr>
              <w:jc w:val="left"/>
              <w:textAlignment w:val="center"/>
              <w:rPr>
                <w:rFonts w:hint="eastAsia" w:ascii="仿宋" w:hAnsi="仿宋" w:eastAsia="仿宋" w:cs="仿宋"/>
                <w:kern w:val="0"/>
                <w:szCs w:val="21"/>
              </w:rPr>
            </w:pPr>
            <w:r>
              <w:rPr>
                <w:rFonts w:hint="eastAsia" w:ascii="仿宋" w:hAnsi="仿宋" w:eastAsia="仿宋" w:cs="仿宋"/>
                <w:kern w:val="0"/>
                <w:szCs w:val="21"/>
              </w:rPr>
              <w:t>每年组织一次院内护理员技能竞赛。（2分）</w:t>
            </w:r>
          </w:p>
          <w:p w14:paraId="0DE284A3">
            <w:pPr>
              <w:widowControl/>
              <w:numPr>
                <w:ilvl w:val="0"/>
                <w:numId w:val="11"/>
              </w:numPr>
              <w:jc w:val="left"/>
              <w:textAlignment w:val="center"/>
              <w:rPr>
                <w:rFonts w:hint="eastAsia" w:ascii="仿宋" w:hAnsi="仿宋" w:eastAsia="仿宋" w:cs="仿宋"/>
                <w:kern w:val="0"/>
                <w:szCs w:val="21"/>
              </w:rPr>
            </w:pPr>
            <w:r>
              <w:rPr>
                <w:rFonts w:hint="eastAsia" w:ascii="仿宋" w:hAnsi="仿宋" w:eastAsia="仿宋" w:cs="仿宋"/>
                <w:kern w:val="0"/>
                <w:szCs w:val="21"/>
              </w:rPr>
              <w:t>每月至少组织一次护理员大会，抓思想道德建设，贯彻工作方针政策。（2分）</w:t>
            </w:r>
          </w:p>
          <w:p w14:paraId="46071CEF">
            <w:pPr>
              <w:widowControl/>
              <w:numPr>
                <w:ilvl w:val="0"/>
                <w:numId w:val="11"/>
              </w:numPr>
              <w:jc w:val="left"/>
              <w:textAlignment w:val="center"/>
              <w:rPr>
                <w:rFonts w:hint="eastAsia" w:ascii="仿宋" w:hAnsi="仿宋" w:eastAsia="仿宋" w:cs="仿宋"/>
                <w:kern w:val="0"/>
                <w:szCs w:val="21"/>
              </w:rPr>
            </w:pPr>
            <w:r>
              <w:rPr>
                <w:rFonts w:hint="eastAsia" w:ascii="仿宋" w:hAnsi="仿宋" w:eastAsia="仿宋" w:cs="仿宋"/>
                <w:kern w:val="0"/>
                <w:szCs w:val="21"/>
              </w:rPr>
              <w:t>每季度组织一次护理员活动。（2分）</w:t>
            </w:r>
          </w:p>
          <w:p w14:paraId="19EDCDC0">
            <w:pPr>
              <w:widowControl/>
              <w:numPr>
                <w:ilvl w:val="0"/>
                <w:numId w:val="11"/>
              </w:numPr>
              <w:jc w:val="left"/>
              <w:textAlignment w:val="center"/>
              <w:rPr>
                <w:rFonts w:hint="eastAsia" w:ascii="仿宋" w:hAnsi="仿宋" w:eastAsia="仿宋" w:cs="仿宋"/>
                <w:kern w:val="0"/>
                <w:szCs w:val="21"/>
              </w:rPr>
            </w:pPr>
            <w:r>
              <w:rPr>
                <w:rFonts w:hint="eastAsia" w:ascii="仿宋" w:hAnsi="仿宋" w:eastAsia="仿宋" w:cs="仿宋"/>
                <w:i w:val="0"/>
                <w:iCs w:val="0"/>
                <w:color w:val="auto"/>
                <w:kern w:val="0"/>
                <w:sz w:val="21"/>
                <w:szCs w:val="21"/>
                <w:highlight w:val="none"/>
                <w:u w:val="none"/>
                <w:lang w:val="en-US" w:eastAsia="zh-CN" w:bidi="ar"/>
              </w:rPr>
              <w:t>护理团队护理员持证率需保持在95%以上，新入职护理员1个月内考取证书，持证每少1人扣1分并扣款500元。</w:t>
            </w:r>
            <w:r>
              <w:rPr>
                <w:rFonts w:hint="eastAsia" w:ascii="仿宋" w:hAnsi="仿宋" w:eastAsia="仿宋" w:cs="仿宋"/>
                <w:kern w:val="0"/>
                <w:szCs w:val="21"/>
              </w:rPr>
              <w:t>（1分）</w:t>
            </w:r>
          </w:p>
          <w:p w14:paraId="52FAF8D2">
            <w:pPr>
              <w:widowControl/>
              <w:numPr>
                <w:ilvl w:val="0"/>
                <w:numId w:val="11"/>
              </w:numPr>
              <w:jc w:val="left"/>
              <w:textAlignment w:val="center"/>
              <w:rPr>
                <w:rFonts w:hint="eastAsia" w:ascii="仿宋" w:hAnsi="仿宋" w:eastAsia="仿宋" w:cs="仿宋"/>
                <w:kern w:val="0"/>
                <w:szCs w:val="21"/>
              </w:rPr>
            </w:pPr>
            <w:r>
              <w:rPr>
                <w:rFonts w:hint="eastAsia" w:ascii="仿宋" w:hAnsi="仿宋" w:eastAsia="仿宋" w:cs="仿宋"/>
                <w:kern w:val="0"/>
                <w:szCs w:val="21"/>
              </w:rPr>
              <w:t>整个项目团队平均年龄不能超过5</w:t>
            </w:r>
            <w:r>
              <w:rPr>
                <w:rFonts w:hint="eastAsia" w:ascii="仿宋" w:hAnsi="仿宋" w:eastAsia="仿宋" w:cs="仿宋"/>
                <w:kern w:val="0"/>
                <w:szCs w:val="21"/>
                <w:lang w:val="en-US" w:eastAsia="zh-CN"/>
              </w:rPr>
              <w:t>7</w:t>
            </w:r>
            <w:r>
              <w:rPr>
                <w:rFonts w:hint="eastAsia" w:ascii="仿宋" w:hAnsi="仿宋" w:eastAsia="仿宋" w:cs="仿宋"/>
                <w:kern w:val="0"/>
                <w:szCs w:val="21"/>
              </w:rPr>
              <w:t>岁。（2分）</w:t>
            </w:r>
          </w:p>
          <w:p w14:paraId="0128615E">
            <w:pPr>
              <w:widowControl/>
              <w:numPr>
                <w:ilvl w:val="0"/>
                <w:numId w:val="11"/>
              </w:numPr>
              <w:jc w:val="left"/>
              <w:textAlignment w:val="center"/>
              <w:rPr>
                <w:rFonts w:hint="eastAsia" w:ascii="仿宋" w:hAnsi="仿宋" w:eastAsia="仿宋" w:cs="仿宋"/>
                <w:kern w:val="0"/>
                <w:szCs w:val="21"/>
              </w:rPr>
            </w:pPr>
            <w:r>
              <w:rPr>
                <w:rFonts w:hint="eastAsia" w:ascii="仿宋" w:hAnsi="仿宋" w:eastAsia="仿宋" w:cs="仿宋"/>
                <w:kern w:val="0"/>
                <w:szCs w:val="21"/>
              </w:rPr>
              <w:t>对采购方反馈的护理质量问题进行限期整改。整改措施传达到位，并及时跟进措施落实情况，形成整改报告。（1分）</w:t>
            </w:r>
          </w:p>
          <w:p w14:paraId="052BF4CC">
            <w:pPr>
              <w:widowControl/>
              <w:numPr>
                <w:ilvl w:val="0"/>
                <w:numId w:val="11"/>
              </w:numPr>
              <w:jc w:val="left"/>
              <w:textAlignment w:val="center"/>
              <w:rPr>
                <w:rFonts w:hint="eastAsia" w:ascii="仿宋" w:hAnsi="仿宋" w:eastAsia="仿宋" w:cs="仿宋"/>
                <w:kern w:val="0"/>
                <w:szCs w:val="21"/>
              </w:rPr>
            </w:pPr>
            <w:r>
              <w:rPr>
                <w:rFonts w:hint="eastAsia" w:ascii="仿宋" w:hAnsi="仿宋" w:eastAsia="仿宋" w:cs="仿宋"/>
                <w:kern w:val="0"/>
                <w:szCs w:val="21"/>
              </w:rPr>
              <w:t>每月形成工作总结提交甲方。（1分）</w:t>
            </w:r>
          </w:p>
        </w:tc>
        <w:tc>
          <w:tcPr>
            <w:tcW w:w="492" w:type="dxa"/>
          </w:tcPr>
          <w:p w14:paraId="025AD895">
            <w:pPr>
              <w:snapToGrid w:val="0"/>
              <w:spacing w:before="156" w:beforeLines="50" w:after="156" w:afterLines="50" w:line="360" w:lineRule="auto"/>
              <w:jc w:val="center"/>
              <w:outlineLvl w:val="0"/>
              <w:rPr>
                <w:rFonts w:hint="eastAsia" w:ascii="仿宋" w:hAnsi="仿宋" w:eastAsia="仿宋" w:cs="仿宋"/>
                <w:sz w:val="24"/>
              </w:rPr>
            </w:pPr>
            <w:r>
              <w:rPr>
                <w:rFonts w:hint="eastAsia" w:ascii="仿宋" w:hAnsi="仿宋" w:eastAsia="仿宋" w:cs="仿宋"/>
                <w:sz w:val="24"/>
              </w:rPr>
              <w:t>20</w:t>
            </w:r>
          </w:p>
        </w:tc>
        <w:tc>
          <w:tcPr>
            <w:tcW w:w="456" w:type="dxa"/>
          </w:tcPr>
          <w:p w14:paraId="72337A04">
            <w:pPr>
              <w:snapToGrid w:val="0"/>
              <w:spacing w:before="156" w:beforeLines="50" w:after="156" w:afterLines="50" w:line="360" w:lineRule="auto"/>
              <w:jc w:val="center"/>
              <w:outlineLvl w:val="0"/>
              <w:rPr>
                <w:rFonts w:hint="eastAsia" w:ascii="仿宋" w:hAnsi="仿宋" w:eastAsia="仿宋" w:cs="仿宋"/>
                <w:sz w:val="24"/>
              </w:rPr>
            </w:pPr>
          </w:p>
        </w:tc>
        <w:tc>
          <w:tcPr>
            <w:tcW w:w="1337" w:type="dxa"/>
          </w:tcPr>
          <w:p w14:paraId="3BDCDAA0">
            <w:pPr>
              <w:snapToGrid w:val="0"/>
              <w:spacing w:before="156" w:beforeLines="50" w:after="156" w:afterLines="50"/>
              <w:jc w:val="center"/>
              <w:outlineLvl w:val="0"/>
              <w:rPr>
                <w:rFonts w:hint="eastAsia" w:ascii="仿宋" w:hAnsi="仿宋" w:eastAsia="仿宋" w:cs="仿宋"/>
                <w:sz w:val="24"/>
              </w:rPr>
            </w:pPr>
            <w:r>
              <w:rPr>
                <w:rFonts w:hint="eastAsia" w:ascii="仿宋" w:hAnsi="仿宋" w:eastAsia="仿宋" w:cs="仿宋"/>
                <w:szCs w:val="21"/>
              </w:rPr>
              <w:t>每1处不符扣1分，扣完为止。</w:t>
            </w:r>
          </w:p>
        </w:tc>
      </w:tr>
      <w:tr w14:paraId="2F03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14:paraId="23295BCD">
            <w:pPr>
              <w:snapToGrid w:val="0"/>
              <w:spacing w:before="156" w:beforeLines="50" w:after="156" w:afterLines="50" w:line="360" w:lineRule="auto"/>
              <w:outlineLvl w:val="0"/>
              <w:rPr>
                <w:rFonts w:hint="eastAsia" w:ascii="仿宋" w:hAnsi="仿宋" w:eastAsia="仿宋" w:cs="仿宋"/>
                <w:szCs w:val="21"/>
              </w:rPr>
            </w:pPr>
            <w:r>
              <w:rPr>
                <w:rFonts w:hint="eastAsia" w:ascii="仿宋" w:hAnsi="仿宋" w:eastAsia="仿宋" w:cs="仿宋"/>
                <w:bCs/>
                <w:kern w:val="0"/>
                <w:szCs w:val="21"/>
                <w:lang w:val="zh-CN"/>
              </w:rPr>
              <w:t>入住率</w:t>
            </w:r>
          </w:p>
        </w:tc>
        <w:tc>
          <w:tcPr>
            <w:tcW w:w="5850" w:type="dxa"/>
            <w:vAlign w:val="center"/>
          </w:tcPr>
          <w:p w14:paraId="04B381D9">
            <w:pPr>
              <w:widowControl/>
              <w:jc w:val="left"/>
              <w:textAlignment w:val="center"/>
              <w:rPr>
                <w:rFonts w:hint="eastAsia" w:ascii="仿宋" w:hAnsi="仿宋" w:eastAsia="仿宋" w:cs="仿宋"/>
                <w:kern w:val="0"/>
                <w:szCs w:val="21"/>
              </w:rPr>
            </w:pPr>
            <w:r>
              <w:rPr>
                <w:rFonts w:hint="eastAsia" w:ascii="仿宋" w:hAnsi="仿宋" w:eastAsia="仿宋" w:cs="仿宋"/>
                <w:kern w:val="0"/>
                <w:szCs w:val="21"/>
              </w:rPr>
              <w:t>每月对离院长者人数进行统计，除正常死亡和长期医疗需求以外，考核离院人数。每离院1名长者扣0.5分，满分5分扣完为止。</w:t>
            </w:r>
          </w:p>
        </w:tc>
        <w:tc>
          <w:tcPr>
            <w:tcW w:w="492" w:type="dxa"/>
          </w:tcPr>
          <w:p w14:paraId="7589020C">
            <w:pPr>
              <w:snapToGrid w:val="0"/>
              <w:spacing w:before="156" w:beforeLines="50" w:after="156" w:afterLines="50" w:line="360" w:lineRule="auto"/>
              <w:jc w:val="center"/>
              <w:outlineLvl w:val="0"/>
              <w:rPr>
                <w:rFonts w:hint="eastAsia" w:ascii="仿宋" w:hAnsi="仿宋" w:eastAsia="仿宋" w:cs="仿宋"/>
                <w:sz w:val="24"/>
              </w:rPr>
            </w:pPr>
            <w:r>
              <w:rPr>
                <w:rFonts w:hint="eastAsia" w:ascii="仿宋" w:hAnsi="仿宋" w:eastAsia="仿宋" w:cs="仿宋"/>
                <w:sz w:val="24"/>
              </w:rPr>
              <w:t>5</w:t>
            </w:r>
          </w:p>
        </w:tc>
        <w:tc>
          <w:tcPr>
            <w:tcW w:w="456" w:type="dxa"/>
          </w:tcPr>
          <w:p w14:paraId="24208A9C">
            <w:pPr>
              <w:snapToGrid w:val="0"/>
              <w:spacing w:before="156" w:beforeLines="50" w:after="156" w:afterLines="50" w:line="360" w:lineRule="auto"/>
              <w:jc w:val="center"/>
              <w:outlineLvl w:val="0"/>
              <w:rPr>
                <w:rFonts w:hint="eastAsia" w:ascii="仿宋" w:hAnsi="仿宋" w:eastAsia="仿宋" w:cs="仿宋"/>
                <w:sz w:val="24"/>
              </w:rPr>
            </w:pPr>
          </w:p>
        </w:tc>
        <w:tc>
          <w:tcPr>
            <w:tcW w:w="1337" w:type="dxa"/>
          </w:tcPr>
          <w:p w14:paraId="0F724D14">
            <w:pPr>
              <w:snapToGrid w:val="0"/>
              <w:spacing w:before="156" w:beforeLines="50" w:after="156" w:afterLines="50"/>
              <w:jc w:val="center"/>
              <w:outlineLvl w:val="0"/>
              <w:rPr>
                <w:rFonts w:hint="eastAsia" w:ascii="仿宋" w:hAnsi="仿宋" w:eastAsia="仿宋" w:cs="仿宋"/>
                <w:sz w:val="24"/>
              </w:rPr>
            </w:pPr>
          </w:p>
        </w:tc>
      </w:tr>
      <w:tr w14:paraId="3EC1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14:paraId="3CFFB141">
            <w:pPr>
              <w:snapToGrid w:val="0"/>
              <w:spacing w:before="156" w:beforeLines="50" w:after="156" w:afterLines="50" w:line="360" w:lineRule="auto"/>
              <w:outlineLvl w:val="0"/>
              <w:rPr>
                <w:rFonts w:hint="eastAsia" w:ascii="仿宋" w:hAnsi="仿宋" w:eastAsia="仿宋" w:cs="仿宋"/>
                <w:bCs/>
                <w:kern w:val="0"/>
                <w:szCs w:val="21"/>
                <w:lang w:val="zh-CN"/>
              </w:rPr>
            </w:pPr>
            <w:r>
              <w:rPr>
                <w:rFonts w:hint="eastAsia" w:ascii="仿宋" w:hAnsi="仿宋" w:eastAsia="仿宋" w:cs="仿宋"/>
                <w:bCs/>
                <w:kern w:val="0"/>
                <w:szCs w:val="21"/>
                <w:lang w:val="zh-CN"/>
              </w:rPr>
              <w:t>满意度</w:t>
            </w:r>
          </w:p>
        </w:tc>
        <w:tc>
          <w:tcPr>
            <w:tcW w:w="5850" w:type="dxa"/>
            <w:vAlign w:val="center"/>
          </w:tcPr>
          <w:p w14:paraId="383FD864">
            <w:pPr>
              <w:widowControl/>
              <w:jc w:val="left"/>
              <w:textAlignment w:val="center"/>
              <w:rPr>
                <w:rFonts w:hint="eastAsia" w:ascii="仿宋" w:hAnsi="仿宋" w:eastAsia="仿宋" w:cs="仿宋"/>
                <w:kern w:val="0"/>
                <w:szCs w:val="21"/>
              </w:rPr>
            </w:pPr>
            <w:r>
              <w:rPr>
                <w:rFonts w:hint="eastAsia" w:ascii="仿宋" w:hAnsi="仿宋" w:eastAsia="仿宋" w:cs="仿宋"/>
                <w:kern w:val="0"/>
                <w:szCs w:val="21"/>
              </w:rPr>
              <w:t>服务满意度测评中，护理服务满意度≥90%。</w:t>
            </w:r>
          </w:p>
        </w:tc>
        <w:tc>
          <w:tcPr>
            <w:tcW w:w="492" w:type="dxa"/>
          </w:tcPr>
          <w:p w14:paraId="045D3CA3">
            <w:pPr>
              <w:snapToGrid w:val="0"/>
              <w:spacing w:before="156" w:beforeLines="50" w:after="156" w:afterLines="50" w:line="360" w:lineRule="auto"/>
              <w:jc w:val="center"/>
              <w:outlineLvl w:val="0"/>
              <w:rPr>
                <w:rFonts w:hint="eastAsia" w:ascii="仿宋" w:hAnsi="仿宋" w:eastAsia="仿宋" w:cs="仿宋"/>
                <w:szCs w:val="21"/>
              </w:rPr>
            </w:pPr>
            <w:r>
              <w:rPr>
                <w:rFonts w:hint="eastAsia" w:ascii="仿宋" w:hAnsi="仿宋" w:eastAsia="仿宋" w:cs="仿宋"/>
                <w:szCs w:val="21"/>
              </w:rPr>
              <w:t>5</w:t>
            </w:r>
          </w:p>
        </w:tc>
        <w:tc>
          <w:tcPr>
            <w:tcW w:w="456" w:type="dxa"/>
          </w:tcPr>
          <w:p w14:paraId="07EBF78F">
            <w:pPr>
              <w:snapToGrid w:val="0"/>
              <w:spacing w:before="156" w:beforeLines="50" w:after="156" w:afterLines="50" w:line="360" w:lineRule="auto"/>
              <w:jc w:val="center"/>
              <w:outlineLvl w:val="0"/>
              <w:rPr>
                <w:rFonts w:hint="eastAsia" w:ascii="仿宋" w:hAnsi="仿宋" w:eastAsia="仿宋" w:cs="仿宋"/>
                <w:szCs w:val="21"/>
              </w:rPr>
            </w:pPr>
          </w:p>
        </w:tc>
        <w:tc>
          <w:tcPr>
            <w:tcW w:w="1337" w:type="dxa"/>
          </w:tcPr>
          <w:p w14:paraId="0284E139">
            <w:pPr>
              <w:snapToGrid w:val="0"/>
              <w:spacing w:before="156" w:beforeLines="50" w:after="156" w:afterLines="50"/>
              <w:jc w:val="center"/>
              <w:outlineLvl w:val="0"/>
              <w:rPr>
                <w:rFonts w:hint="eastAsia" w:ascii="仿宋" w:hAnsi="仿宋" w:eastAsia="仿宋" w:cs="仿宋"/>
                <w:szCs w:val="21"/>
              </w:rPr>
            </w:pPr>
            <w:r>
              <w:rPr>
                <w:rFonts w:hint="eastAsia" w:ascii="仿宋" w:hAnsi="仿宋" w:eastAsia="仿宋" w:cs="仿宋"/>
                <w:szCs w:val="21"/>
              </w:rPr>
              <w:t>每低1%扣1分，扣完5分为止</w:t>
            </w:r>
          </w:p>
        </w:tc>
      </w:tr>
    </w:tbl>
    <w:p w14:paraId="0ECF9077">
      <w:pPr>
        <w:widowControl/>
        <w:ind w:firstLine="420" w:firstLineChars="200"/>
        <w:jc w:val="left"/>
        <w:textAlignment w:val="center"/>
        <w:rPr>
          <w:rFonts w:hint="eastAsia" w:ascii="仿宋" w:hAnsi="仿宋" w:eastAsia="仿宋" w:cs="仿宋"/>
          <w:kern w:val="0"/>
          <w:szCs w:val="21"/>
        </w:rPr>
      </w:pPr>
      <w:r>
        <w:rPr>
          <w:rFonts w:hint="eastAsia" w:ascii="仿宋" w:hAnsi="仿宋" w:eastAsia="仿宋" w:cs="仿宋"/>
          <w:kern w:val="0"/>
          <w:szCs w:val="21"/>
        </w:rPr>
        <w:t>考核采用百分制，满分100分。考核结果分为优秀、称职、基本称职和不称职四个等次，100分为优秀，全额支付月季度项目服务费；70--79分为称职，扣减当季度项目服务费的3%；60--69分为基本称职，扣减当季度项目服务费的10%；60分以下不称职，扣减当季度项目服务费的30%。</w:t>
      </w:r>
    </w:p>
    <w:p w14:paraId="4BE5D5B5">
      <w:pPr>
        <w:widowControl/>
        <w:textAlignment w:val="center"/>
        <w:rPr>
          <w:rFonts w:ascii="仿宋" w:hAnsi="仿宋" w:eastAsia="仿宋" w:cs="仿宋"/>
          <w:kern w:val="0"/>
          <w:szCs w:val="21"/>
        </w:rPr>
      </w:pPr>
    </w:p>
    <w:p w14:paraId="4B446E99">
      <w:pPr>
        <w:widowControl/>
        <w:jc w:val="left"/>
        <w:textAlignment w:val="center"/>
        <w:rPr>
          <w:rFonts w:ascii="仿宋" w:hAnsi="仿宋" w:eastAsia="仿宋" w:cs="仿宋"/>
          <w:kern w:val="0"/>
          <w:szCs w:val="21"/>
        </w:rPr>
      </w:pPr>
      <w:r>
        <w:rPr>
          <w:rFonts w:hint="eastAsia" w:ascii="仿宋" w:hAnsi="仿宋" w:eastAsia="仿宋" w:cs="仿宋"/>
          <w:kern w:val="0"/>
          <w:szCs w:val="21"/>
        </w:rPr>
        <w:t>备注：上述内容如有调整，需经双方协商确认后再执行。</w:t>
      </w:r>
    </w:p>
    <w:p w14:paraId="1B53C85D">
      <w:pPr>
        <w:widowControl/>
        <w:jc w:val="left"/>
        <w:textAlignment w:val="center"/>
        <w:rPr>
          <w:rFonts w:ascii="仿宋" w:hAnsi="仿宋" w:eastAsia="仿宋" w:cs="仿宋"/>
          <w:kern w:val="0"/>
          <w:szCs w:val="21"/>
        </w:rPr>
      </w:pPr>
      <w:r>
        <w:rPr>
          <w:rFonts w:ascii="仿宋" w:hAnsi="仿宋" w:eastAsia="仿宋" w:cs="仿宋"/>
          <w:kern w:val="0"/>
          <w:szCs w:val="21"/>
        </w:rPr>
        <w:t xml:space="preserve">                                                   </w:t>
      </w:r>
      <w:r>
        <w:rPr>
          <w:rFonts w:hint="eastAsia" w:ascii="仿宋" w:hAnsi="仿宋" w:eastAsia="仿宋" w:cs="仿宋"/>
          <w:kern w:val="0"/>
          <w:szCs w:val="21"/>
        </w:rPr>
        <w:t>考核人签名：</w:t>
      </w:r>
    </w:p>
    <w:p w14:paraId="783A5706">
      <w:pPr>
        <w:widowControl/>
        <w:tabs>
          <w:tab w:val="left" w:pos="208"/>
        </w:tabs>
        <w:kinsoku w:val="0"/>
        <w:autoSpaceDE w:val="0"/>
        <w:autoSpaceDN w:val="0"/>
        <w:snapToGrid w:val="0"/>
        <w:jc w:val="left"/>
        <w:textAlignment w:val="center"/>
        <w:rPr>
          <w:rFonts w:hint="eastAsia" w:ascii="仿宋" w:hAnsi="仿宋" w:eastAsia="仿宋" w:cs="仿宋"/>
          <w:kern w:val="0"/>
          <w:szCs w:val="21"/>
        </w:rPr>
      </w:pPr>
      <w:r>
        <w:rPr>
          <w:rFonts w:ascii="仿宋" w:hAnsi="仿宋" w:eastAsia="仿宋" w:cs="仿宋"/>
          <w:kern w:val="0"/>
          <w:szCs w:val="21"/>
        </w:rPr>
        <w:t xml:space="preserve">                                         </w:t>
      </w:r>
      <w:r>
        <w:rPr>
          <w:rFonts w:hint="eastAsia" w:ascii="仿宋" w:hAnsi="仿宋" w:eastAsia="仿宋" w:cs="仿宋"/>
          <w:kern w:val="0"/>
          <w:szCs w:val="21"/>
        </w:rPr>
        <w:t xml:space="preserve">           考核日期：</w:t>
      </w:r>
    </w:p>
    <w:p w14:paraId="712966B4"/>
    <w:p w14:paraId="5C560C63">
      <w:pPr>
        <w:pStyle w:val="2"/>
        <w:ind w:firstLine="0" w:firstLineChars="0"/>
        <w:rPr>
          <w:rFonts w:hint="eastAsia" w:ascii="宋体" w:hAnsi="宋体"/>
          <w:szCs w:val="24"/>
          <w:u w:val="single"/>
        </w:rPr>
      </w:pPr>
    </w:p>
    <w:p w14:paraId="21AD3C2F">
      <w:pPr>
        <w:pStyle w:val="2"/>
        <w:ind w:firstLine="0" w:firstLineChars="0"/>
        <w:rPr>
          <w:rFonts w:hint="eastAsia" w:ascii="宋体" w:hAnsi="宋体"/>
          <w:szCs w:val="24"/>
          <w:u w:val="single"/>
        </w:rPr>
      </w:pPr>
    </w:p>
    <w:p w14:paraId="0DEAA1A2">
      <w:pPr>
        <w:pStyle w:val="2"/>
        <w:ind w:firstLine="0" w:firstLineChars="0"/>
        <w:rPr>
          <w:rFonts w:hint="eastAsia" w:ascii="宋体" w:hAnsi="宋体"/>
          <w:szCs w:val="24"/>
          <w:u w:val="single"/>
        </w:rPr>
      </w:pPr>
    </w:p>
    <w:p w14:paraId="7D476D0F">
      <w:pPr>
        <w:pStyle w:val="2"/>
        <w:ind w:firstLine="0" w:firstLineChars="0"/>
        <w:rPr>
          <w:rFonts w:hint="eastAsia" w:ascii="宋体" w:hAnsi="宋体"/>
          <w:szCs w:val="24"/>
          <w:u w:val="single"/>
        </w:rPr>
      </w:pPr>
    </w:p>
    <w:p w14:paraId="382FD4E8">
      <w:pPr>
        <w:pStyle w:val="2"/>
        <w:ind w:firstLine="0" w:firstLineChars="0"/>
        <w:rPr>
          <w:rFonts w:hint="eastAsia" w:ascii="宋体" w:hAnsi="宋体"/>
          <w:szCs w:val="24"/>
          <w:u w:val="single"/>
        </w:rPr>
      </w:pPr>
    </w:p>
    <w:p w14:paraId="1E0796E2">
      <w:pPr>
        <w:pStyle w:val="2"/>
        <w:ind w:firstLine="0" w:firstLineChars="0"/>
        <w:rPr>
          <w:rFonts w:hint="eastAsia" w:ascii="宋体" w:hAnsi="宋体"/>
          <w:szCs w:val="24"/>
          <w:u w:val="single"/>
        </w:rPr>
      </w:pPr>
    </w:p>
    <w:p w14:paraId="24342456">
      <w:pPr>
        <w:pStyle w:val="2"/>
        <w:ind w:firstLine="0" w:firstLineChars="0"/>
        <w:rPr>
          <w:rFonts w:hint="eastAsia" w:ascii="宋体" w:hAnsi="宋体"/>
          <w:szCs w:val="24"/>
          <w:u w:val="single"/>
        </w:rPr>
      </w:pPr>
    </w:p>
    <w:p w14:paraId="7F62AE9C">
      <w:pPr>
        <w:pStyle w:val="2"/>
        <w:ind w:firstLine="0" w:firstLineChars="0"/>
        <w:rPr>
          <w:rFonts w:hint="eastAsia" w:ascii="宋体" w:hAnsi="宋体"/>
          <w:szCs w:val="24"/>
          <w:u w:val="single"/>
        </w:rPr>
      </w:pPr>
    </w:p>
    <w:p w14:paraId="07D19FCB">
      <w:pPr>
        <w:pStyle w:val="2"/>
        <w:ind w:firstLine="0" w:firstLineChars="0"/>
        <w:rPr>
          <w:rFonts w:hint="eastAsia" w:ascii="宋体" w:hAnsi="宋体"/>
          <w:szCs w:val="24"/>
          <w:u w:val="single"/>
        </w:rPr>
      </w:pPr>
    </w:p>
    <w:p w14:paraId="0FEBF1CF">
      <w:pPr>
        <w:pStyle w:val="2"/>
        <w:ind w:firstLine="0" w:firstLineChars="0"/>
        <w:rPr>
          <w:rFonts w:hint="eastAsia" w:ascii="宋体" w:hAnsi="宋体"/>
          <w:szCs w:val="24"/>
          <w:u w:val="single"/>
        </w:rPr>
      </w:pPr>
    </w:p>
    <w:p w14:paraId="69A85B7A">
      <w:pPr>
        <w:pStyle w:val="2"/>
        <w:ind w:firstLine="0" w:firstLineChars="0"/>
        <w:rPr>
          <w:rFonts w:hint="eastAsia" w:ascii="宋体" w:hAnsi="宋体"/>
          <w:szCs w:val="24"/>
          <w:u w:val="single"/>
        </w:rPr>
      </w:pPr>
    </w:p>
    <w:p w14:paraId="7ACA49E2">
      <w:pPr>
        <w:pStyle w:val="2"/>
        <w:ind w:firstLine="0" w:firstLineChars="0"/>
        <w:rPr>
          <w:rFonts w:hint="eastAsia" w:ascii="宋体" w:hAnsi="宋体"/>
          <w:szCs w:val="24"/>
          <w:u w:val="single"/>
        </w:rPr>
      </w:pPr>
    </w:p>
    <w:p w14:paraId="3D8158E4">
      <w:pPr>
        <w:pStyle w:val="2"/>
        <w:ind w:firstLine="0" w:firstLineChars="0"/>
        <w:rPr>
          <w:rFonts w:hint="eastAsia" w:ascii="宋体" w:hAnsi="宋体"/>
          <w:szCs w:val="24"/>
          <w:u w:val="single"/>
        </w:rPr>
      </w:pPr>
    </w:p>
    <w:p w14:paraId="263BEAFC">
      <w:pPr>
        <w:pStyle w:val="2"/>
        <w:ind w:firstLine="0" w:firstLineChars="0"/>
        <w:rPr>
          <w:rFonts w:hint="eastAsia" w:ascii="宋体" w:hAnsi="宋体"/>
          <w:szCs w:val="24"/>
          <w:u w:val="single"/>
        </w:rPr>
      </w:pPr>
    </w:p>
    <w:p w14:paraId="63B29C50">
      <w:pPr>
        <w:pStyle w:val="4"/>
        <w:rPr>
          <w:rFonts w:hint="eastAsia" w:ascii="宋体" w:hAnsi="宋体"/>
          <w:szCs w:val="24"/>
          <w:u w:val="single"/>
        </w:rPr>
      </w:pPr>
    </w:p>
    <w:p w14:paraId="56238FF0">
      <w:pPr>
        <w:rPr>
          <w:rFonts w:hint="eastAsia" w:ascii="宋体" w:hAnsi="宋体"/>
          <w:szCs w:val="24"/>
          <w:u w:val="single"/>
        </w:rPr>
      </w:pPr>
    </w:p>
    <w:p w14:paraId="2D55D317">
      <w:pPr>
        <w:rPr>
          <w:rFonts w:hint="eastAsia" w:ascii="宋体" w:hAnsi="宋体"/>
          <w:szCs w:val="24"/>
          <w:u w:val="single"/>
        </w:rPr>
      </w:pPr>
    </w:p>
    <w:p w14:paraId="508FD838">
      <w:pPr>
        <w:rPr>
          <w:rFonts w:hint="eastAsia" w:ascii="宋体" w:hAnsi="宋体"/>
          <w:szCs w:val="24"/>
          <w:u w:val="single"/>
        </w:rPr>
      </w:pPr>
    </w:p>
    <w:p w14:paraId="3966C565">
      <w:pPr>
        <w:rPr>
          <w:rFonts w:hint="eastAsia" w:ascii="宋体" w:hAnsi="宋体"/>
          <w:szCs w:val="24"/>
          <w:u w:val="single"/>
        </w:rPr>
      </w:pPr>
    </w:p>
    <w:p w14:paraId="36AF807E">
      <w:pPr>
        <w:rPr>
          <w:rFonts w:hint="eastAsia" w:ascii="宋体" w:hAnsi="宋体"/>
          <w:szCs w:val="24"/>
          <w:u w:val="single"/>
        </w:rPr>
      </w:pPr>
    </w:p>
    <w:p w14:paraId="05E14296">
      <w:pPr>
        <w:rPr>
          <w:rFonts w:hint="eastAsia" w:ascii="宋体" w:hAnsi="宋体"/>
          <w:szCs w:val="24"/>
          <w:u w:val="single"/>
        </w:rPr>
      </w:pPr>
    </w:p>
    <w:p w14:paraId="2DC41BAE">
      <w:pPr>
        <w:rPr>
          <w:rFonts w:hint="eastAsia" w:ascii="宋体" w:hAnsi="宋体"/>
          <w:szCs w:val="24"/>
          <w:u w:val="single"/>
        </w:rPr>
      </w:pPr>
    </w:p>
    <w:p w14:paraId="571BB8A0">
      <w:pPr>
        <w:pStyle w:val="2"/>
        <w:rPr>
          <w:rFonts w:hint="eastAsia" w:ascii="宋体" w:hAnsi="宋体"/>
          <w:szCs w:val="24"/>
          <w:u w:val="single"/>
        </w:rPr>
      </w:pPr>
    </w:p>
    <w:p w14:paraId="7971F694">
      <w:pPr>
        <w:pStyle w:val="4"/>
        <w:rPr>
          <w:rFonts w:hint="eastAsia" w:ascii="宋体" w:hAnsi="宋体"/>
          <w:szCs w:val="24"/>
          <w:u w:val="single"/>
        </w:rPr>
      </w:pPr>
    </w:p>
    <w:p w14:paraId="5741E973">
      <w:pPr>
        <w:rPr>
          <w:rFonts w:hint="eastAsia" w:ascii="宋体" w:hAnsi="宋体"/>
          <w:szCs w:val="24"/>
          <w:u w:val="single"/>
        </w:rPr>
      </w:pPr>
    </w:p>
    <w:p w14:paraId="5FA5CFF8">
      <w:pPr>
        <w:pStyle w:val="2"/>
        <w:rPr>
          <w:rFonts w:hint="eastAsia" w:ascii="宋体" w:hAnsi="宋体"/>
          <w:szCs w:val="24"/>
          <w:u w:val="single"/>
        </w:rPr>
      </w:pPr>
    </w:p>
    <w:p w14:paraId="03DB5D6E">
      <w:pPr>
        <w:pStyle w:val="4"/>
        <w:rPr>
          <w:rFonts w:hint="eastAsia"/>
        </w:rPr>
      </w:pPr>
    </w:p>
    <w:p w14:paraId="5766BBF9">
      <w:pPr>
        <w:rPr>
          <w:rFonts w:hint="eastAsia" w:ascii="宋体" w:hAnsi="宋体"/>
          <w:szCs w:val="24"/>
          <w:u w:val="single"/>
        </w:rPr>
      </w:pPr>
    </w:p>
    <w:p w14:paraId="00E02A79"/>
    <w:p w14:paraId="32CA0395">
      <w:pPr>
        <w:numPr>
          <w:ilvl w:val="0"/>
          <w:numId w:val="12"/>
        </w:numPr>
        <w:snapToGrid w:val="0"/>
        <w:spacing w:before="156" w:beforeLines="50" w:after="156" w:afterLines="50" w:line="360" w:lineRule="auto"/>
        <w:ind w:firstLine="602" w:firstLineChars="200"/>
        <w:jc w:val="center"/>
        <w:outlineLvl w:val="0"/>
        <w:rPr>
          <w:rFonts w:hint="eastAsia" w:ascii="宋体" w:hAnsi="宋体"/>
          <w:b/>
          <w:sz w:val="30"/>
          <w:szCs w:val="30"/>
        </w:rPr>
      </w:pPr>
      <w:r>
        <w:rPr>
          <w:rFonts w:hint="eastAsia" w:ascii="宋体" w:hAnsi="宋体"/>
          <w:b/>
          <w:sz w:val="30"/>
          <w:szCs w:val="30"/>
        </w:rPr>
        <w:t>采购合同</w:t>
      </w:r>
    </w:p>
    <w:p w14:paraId="6D2D87CA">
      <w:pPr>
        <w:spacing w:before="156" w:beforeLines="50" w:line="360" w:lineRule="auto"/>
        <w:jc w:val="center"/>
      </w:pPr>
      <w:r>
        <w:rPr>
          <w:rFonts w:hint="eastAsia"/>
          <w:b/>
          <w:bCs/>
          <w:sz w:val="30"/>
          <w:szCs w:val="30"/>
        </w:rPr>
        <w:t>浙江康复医院西溪院区康养中心护理服务合同</w:t>
      </w:r>
    </w:p>
    <w:p w14:paraId="06BF32BB">
      <w:pPr>
        <w:spacing w:line="360" w:lineRule="auto"/>
        <w:ind w:firstLine="422" w:firstLineChars="200"/>
        <w:jc w:val="left"/>
      </w:pPr>
      <w:r>
        <w:rPr>
          <w:rFonts w:hint="eastAsia"/>
          <w:b/>
          <w:bCs/>
        </w:rPr>
        <w:t>甲  方：</w:t>
      </w:r>
      <w:r>
        <w:rPr>
          <w:rFonts w:hint="eastAsia"/>
        </w:rPr>
        <w:t>浙江康复医院</w:t>
      </w:r>
    </w:p>
    <w:p w14:paraId="7009DFCF">
      <w:pPr>
        <w:spacing w:line="360" w:lineRule="auto"/>
        <w:ind w:firstLine="422" w:firstLineChars="200"/>
        <w:jc w:val="left"/>
      </w:pPr>
      <w:r>
        <w:rPr>
          <w:rFonts w:hint="eastAsia"/>
          <w:b/>
          <w:bCs/>
        </w:rPr>
        <w:t>乙  方：</w:t>
      </w:r>
    </w:p>
    <w:p w14:paraId="45DC0B06">
      <w:pPr>
        <w:spacing w:line="360" w:lineRule="auto"/>
        <w:jc w:val="left"/>
      </w:pPr>
      <w:r>
        <w:rPr>
          <w:rFonts w:hint="eastAsia"/>
        </w:rPr>
        <w:t>签订地点：</w:t>
      </w:r>
      <w:r>
        <w:rPr>
          <w:rFonts w:hint="eastAsia"/>
          <w:u w:val="single"/>
        </w:rPr>
        <w:t xml:space="preserve">        杭州                   </w:t>
      </w:r>
    </w:p>
    <w:p w14:paraId="259FC4B7">
      <w:pPr>
        <w:spacing w:line="360" w:lineRule="auto"/>
        <w:jc w:val="left"/>
      </w:pPr>
      <w:r>
        <w:rPr>
          <w:rFonts w:hint="eastAsia"/>
        </w:rPr>
        <w:t xml:space="preserve">签订时间： </w:t>
      </w:r>
      <w:r>
        <w:rPr>
          <w:u w:val="single"/>
        </w:rPr>
        <w:t xml:space="preserve">  </w:t>
      </w:r>
      <w:r>
        <w:rPr>
          <w:rFonts w:hint="eastAsia"/>
          <w:u w:val="single"/>
        </w:rPr>
        <w:t xml:space="preserve">2026       </w:t>
      </w:r>
      <w:r>
        <w:rPr>
          <w:rFonts w:hint="eastAsia"/>
        </w:rPr>
        <w:t xml:space="preserve">年 </w:t>
      </w:r>
      <w:r>
        <w:rPr>
          <w:u w:val="single"/>
        </w:rPr>
        <w:t xml:space="preserve">  </w:t>
      </w:r>
      <w:r>
        <w:rPr>
          <w:rFonts w:hint="eastAsia"/>
          <w:u w:val="single"/>
        </w:rPr>
        <w:t xml:space="preserve">  </w:t>
      </w:r>
      <w:r>
        <w:rPr>
          <w:rFonts w:hint="eastAsia"/>
        </w:rPr>
        <w:t xml:space="preserve">月 </w:t>
      </w:r>
      <w:r>
        <w:rPr>
          <w:u w:val="single"/>
        </w:rPr>
        <w:t xml:space="preserve">  </w:t>
      </w:r>
      <w:r>
        <w:rPr>
          <w:rFonts w:hint="eastAsia"/>
          <w:u w:val="single"/>
        </w:rPr>
        <w:t xml:space="preserve">  </w:t>
      </w:r>
      <w:r>
        <w:rPr>
          <w:rFonts w:hint="eastAsia"/>
        </w:rPr>
        <w:t xml:space="preserve"> 日 </w:t>
      </w:r>
    </w:p>
    <w:p w14:paraId="7D4A6AA8">
      <w:pPr>
        <w:spacing w:line="360" w:lineRule="auto"/>
        <w:ind w:firstLine="420" w:firstLineChars="200"/>
        <w:jc w:val="left"/>
      </w:pPr>
      <w:r>
        <w:rPr>
          <w:rFonts w:hint="eastAsia"/>
        </w:rPr>
        <w:t xml:space="preserve">依据《中华人民共和国民法典》《中华人民共和国政府采购法》与项目行业有关的法律法规，甲、乙双方同意签订本合同。 </w:t>
      </w:r>
    </w:p>
    <w:p w14:paraId="2AEAA87E">
      <w:pPr>
        <w:spacing w:line="360" w:lineRule="auto"/>
        <w:ind w:firstLine="422" w:firstLineChars="200"/>
        <w:jc w:val="left"/>
        <w:rPr>
          <w:rFonts w:hint="eastAsia" w:ascii="宋体" w:hAnsi="宋体"/>
          <w:b/>
          <w:bCs/>
          <w:szCs w:val="24"/>
        </w:rPr>
      </w:pPr>
      <w:r>
        <w:rPr>
          <w:rFonts w:hint="eastAsia" w:ascii="宋体" w:hAnsi="宋体"/>
          <w:b/>
          <w:bCs/>
          <w:szCs w:val="24"/>
        </w:rPr>
        <w:t>第一条  项目基本情况</w:t>
      </w:r>
    </w:p>
    <w:p w14:paraId="074EAE30">
      <w:pPr>
        <w:spacing w:line="360" w:lineRule="auto"/>
        <w:ind w:firstLine="420" w:firstLineChars="200"/>
        <w:jc w:val="left"/>
        <w:rPr>
          <w:rFonts w:hint="eastAsia" w:ascii="宋体" w:hAnsi="宋体"/>
          <w:szCs w:val="24"/>
        </w:rPr>
      </w:pPr>
      <w:r>
        <w:rPr>
          <w:rFonts w:hint="eastAsia" w:ascii="宋体" w:hAnsi="宋体"/>
          <w:szCs w:val="24"/>
        </w:rPr>
        <w:t>乙方为甲方康复养护中心提供护理员服务。</w:t>
      </w:r>
    </w:p>
    <w:p w14:paraId="707D14B1">
      <w:pPr>
        <w:spacing w:line="360" w:lineRule="auto"/>
        <w:ind w:firstLine="422" w:firstLineChars="200"/>
        <w:jc w:val="left"/>
        <w:rPr>
          <w:rFonts w:hint="eastAsia" w:ascii="宋体" w:hAnsi="宋体"/>
          <w:b/>
          <w:bCs/>
          <w:szCs w:val="24"/>
        </w:rPr>
      </w:pPr>
      <w:r>
        <w:rPr>
          <w:rFonts w:hint="eastAsia" w:ascii="宋体" w:hAnsi="宋体"/>
          <w:b/>
          <w:bCs/>
          <w:szCs w:val="24"/>
        </w:rPr>
        <w:t>第二条  合同期限</w:t>
      </w:r>
    </w:p>
    <w:p w14:paraId="098FBF6B">
      <w:pPr>
        <w:spacing w:line="360" w:lineRule="auto"/>
        <w:ind w:firstLine="420" w:firstLineChars="200"/>
        <w:jc w:val="left"/>
        <w:rPr>
          <w:rFonts w:hint="eastAsia" w:ascii="宋体" w:hAnsi="宋体"/>
          <w:szCs w:val="24"/>
          <w:highlight w:val="none"/>
          <w:u w:val="single"/>
        </w:rPr>
      </w:pPr>
      <w:r>
        <w:rPr>
          <w:rFonts w:hint="eastAsia" w:ascii="宋体" w:hAnsi="宋体"/>
          <w:color w:val="auto"/>
          <w:szCs w:val="24"/>
          <w:highlight w:val="none"/>
        </w:rPr>
        <w:t>服务期限：</w:t>
      </w:r>
      <w:r>
        <w:rPr>
          <w:rFonts w:hint="eastAsia" w:ascii="宋体" w:hAnsi="宋体"/>
          <w:b/>
          <w:bCs/>
          <w:color w:val="auto"/>
          <w:szCs w:val="24"/>
          <w:highlight w:val="none"/>
          <w:u w:val="single"/>
        </w:rPr>
        <w:t>壹年</w:t>
      </w:r>
      <w:r>
        <w:rPr>
          <w:rFonts w:hint="eastAsia" w:ascii="宋体" w:hAnsi="宋体"/>
          <w:color w:val="auto"/>
          <w:szCs w:val="24"/>
          <w:highlight w:val="none"/>
        </w:rPr>
        <w:t>。合同起始时间：</w:t>
      </w:r>
      <w:r>
        <w:rPr>
          <w:rFonts w:hint="eastAsia" w:ascii="宋体" w:hAnsi="宋体"/>
          <w:color w:val="auto"/>
          <w:szCs w:val="24"/>
          <w:highlight w:val="none"/>
          <w:u w:val="single"/>
          <w:lang w:val="en-US" w:eastAsia="zh-CN"/>
        </w:rPr>
        <w:t xml:space="preserve">   </w:t>
      </w:r>
      <w:r>
        <w:rPr>
          <w:rFonts w:hint="eastAsia" w:ascii="宋体" w:hAnsi="宋体"/>
          <w:b/>
          <w:bCs/>
          <w:color w:val="auto"/>
          <w:szCs w:val="24"/>
          <w:highlight w:val="none"/>
          <w:u w:val="single"/>
        </w:rPr>
        <w:t>年</w:t>
      </w:r>
      <w:r>
        <w:rPr>
          <w:rFonts w:hint="eastAsia" w:ascii="宋体" w:hAnsi="宋体"/>
          <w:b/>
          <w:bCs/>
          <w:color w:val="auto"/>
          <w:szCs w:val="24"/>
          <w:highlight w:val="none"/>
          <w:u w:val="single"/>
          <w:lang w:val="en-US" w:eastAsia="zh-CN"/>
        </w:rPr>
        <w:t xml:space="preserve">   </w:t>
      </w:r>
      <w:r>
        <w:rPr>
          <w:rFonts w:hint="eastAsia" w:ascii="宋体" w:hAnsi="宋体"/>
          <w:b/>
          <w:bCs/>
          <w:color w:val="auto"/>
          <w:szCs w:val="24"/>
          <w:highlight w:val="none"/>
          <w:u w:val="single"/>
        </w:rPr>
        <w:t>月</w:t>
      </w:r>
      <w:r>
        <w:rPr>
          <w:rFonts w:hint="eastAsia" w:ascii="宋体" w:hAnsi="宋体"/>
          <w:b/>
          <w:bCs/>
          <w:color w:val="auto"/>
          <w:szCs w:val="24"/>
          <w:highlight w:val="none"/>
          <w:u w:val="single"/>
          <w:lang w:val="en-US" w:eastAsia="zh-CN"/>
        </w:rPr>
        <w:t xml:space="preserve">   </w:t>
      </w:r>
      <w:r>
        <w:rPr>
          <w:rFonts w:hint="eastAsia" w:ascii="宋体" w:hAnsi="宋体"/>
          <w:b/>
          <w:bCs/>
          <w:color w:val="auto"/>
          <w:szCs w:val="24"/>
          <w:highlight w:val="none"/>
          <w:u w:val="single"/>
        </w:rPr>
        <w:t>日</w:t>
      </w:r>
      <w:r>
        <w:rPr>
          <w:rFonts w:hint="eastAsia" w:ascii="宋体" w:hAnsi="宋体"/>
          <w:color w:val="auto"/>
          <w:szCs w:val="24"/>
          <w:highlight w:val="none"/>
        </w:rPr>
        <w:t>至</w:t>
      </w:r>
      <w:r>
        <w:rPr>
          <w:rFonts w:hint="eastAsia" w:ascii="宋体" w:hAnsi="宋体"/>
          <w:color w:val="auto"/>
          <w:szCs w:val="24"/>
          <w:highlight w:val="none"/>
          <w:u w:val="single"/>
          <w:lang w:val="en-US" w:eastAsia="zh-CN"/>
        </w:rPr>
        <w:t xml:space="preserve">    </w:t>
      </w:r>
      <w:r>
        <w:rPr>
          <w:rFonts w:hint="eastAsia" w:ascii="宋体" w:hAnsi="宋体"/>
          <w:b/>
          <w:bCs/>
          <w:color w:val="auto"/>
          <w:szCs w:val="24"/>
          <w:highlight w:val="none"/>
          <w:u w:val="single"/>
        </w:rPr>
        <w:t>年</w:t>
      </w:r>
      <w:r>
        <w:rPr>
          <w:rFonts w:hint="eastAsia" w:ascii="宋体" w:hAnsi="宋体"/>
          <w:b/>
          <w:bCs/>
          <w:color w:val="auto"/>
          <w:szCs w:val="24"/>
          <w:highlight w:val="none"/>
          <w:u w:val="single"/>
          <w:lang w:val="en-US" w:eastAsia="zh-CN"/>
        </w:rPr>
        <w:t xml:space="preserve">   </w:t>
      </w:r>
      <w:r>
        <w:rPr>
          <w:rFonts w:hint="eastAsia" w:ascii="宋体" w:hAnsi="宋体"/>
          <w:b/>
          <w:bCs/>
          <w:color w:val="auto"/>
          <w:szCs w:val="24"/>
          <w:highlight w:val="none"/>
          <w:u w:val="single"/>
        </w:rPr>
        <w:t>月</w:t>
      </w:r>
      <w:r>
        <w:rPr>
          <w:rFonts w:hint="eastAsia" w:ascii="宋体" w:hAnsi="宋体"/>
          <w:b/>
          <w:bCs/>
          <w:color w:val="auto"/>
          <w:szCs w:val="24"/>
          <w:highlight w:val="none"/>
          <w:u w:val="single"/>
          <w:lang w:val="en-US" w:eastAsia="zh-CN"/>
        </w:rPr>
        <w:t xml:space="preserve">   </w:t>
      </w:r>
      <w:r>
        <w:rPr>
          <w:rFonts w:hint="eastAsia" w:ascii="宋体" w:hAnsi="宋体"/>
          <w:b/>
          <w:bCs/>
          <w:color w:val="auto"/>
          <w:szCs w:val="24"/>
          <w:highlight w:val="none"/>
          <w:u w:val="single"/>
        </w:rPr>
        <w:t>日</w:t>
      </w:r>
      <w:r>
        <w:rPr>
          <w:rFonts w:hint="eastAsia" w:ascii="宋体" w:hAnsi="宋体"/>
          <w:color w:val="auto"/>
          <w:szCs w:val="24"/>
          <w:highlight w:val="none"/>
          <w:u w:val="single"/>
        </w:rPr>
        <w:t>。</w:t>
      </w:r>
      <w:r>
        <w:rPr>
          <w:rFonts w:hint="eastAsia" w:ascii="宋体" w:hAnsi="宋体"/>
          <w:color w:val="auto"/>
          <w:szCs w:val="24"/>
          <w:highlight w:val="none"/>
        </w:rPr>
        <w:t>护理员管理费用达到中标金额或合同服务期限到期则终止合同。</w:t>
      </w:r>
    </w:p>
    <w:p w14:paraId="6AAF1BBF">
      <w:pPr>
        <w:spacing w:line="360" w:lineRule="auto"/>
        <w:ind w:firstLine="422" w:firstLineChars="200"/>
        <w:jc w:val="left"/>
        <w:rPr>
          <w:rFonts w:hint="eastAsia" w:ascii="宋体" w:hAnsi="宋体"/>
          <w:b/>
          <w:bCs/>
          <w:szCs w:val="24"/>
        </w:rPr>
      </w:pPr>
      <w:r>
        <w:rPr>
          <w:rFonts w:hint="eastAsia" w:ascii="宋体" w:hAnsi="宋体"/>
          <w:b/>
          <w:bCs/>
          <w:szCs w:val="24"/>
        </w:rPr>
        <w:t>第三条  服务内容及需求人数</w:t>
      </w:r>
    </w:p>
    <w:p w14:paraId="5AC87136">
      <w:pPr>
        <w:tabs>
          <w:tab w:val="left" w:pos="208"/>
        </w:tabs>
        <w:spacing w:line="360" w:lineRule="auto"/>
        <w:ind w:firstLine="420" w:firstLineChars="200"/>
        <w:jc w:val="left"/>
        <w:rPr>
          <w:rFonts w:hint="eastAsia" w:ascii="宋体" w:hAnsi="宋体"/>
          <w:szCs w:val="24"/>
        </w:rPr>
      </w:pPr>
      <w:r>
        <w:rPr>
          <w:rFonts w:hint="eastAsia" w:ascii="宋体" w:hAnsi="宋体"/>
          <w:szCs w:val="24"/>
        </w:rPr>
        <w:t>（一）照护服务内容</w:t>
      </w:r>
    </w:p>
    <w:p w14:paraId="56AC0400">
      <w:pPr>
        <w:tabs>
          <w:tab w:val="left" w:pos="208"/>
        </w:tabs>
        <w:spacing w:line="360" w:lineRule="auto"/>
        <w:ind w:firstLine="420" w:firstLineChars="200"/>
        <w:jc w:val="left"/>
        <w:rPr>
          <w:rFonts w:hint="eastAsia" w:ascii="宋体" w:hAnsi="宋体"/>
          <w:szCs w:val="24"/>
        </w:rPr>
      </w:pPr>
      <w:r>
        <w:rPr>
          <w:rFonts w:hint="eastAsia" w:ascii="宋体" w:hAnsi="宋体"/>
          <w:szCs w:val="24"/>
        </w:rPr>
        <w:t>乙方应依据护理分级标准，按长者实际护理级别提供对应日常照护服务，服务内容包括但不限于清洁卫生、生活照料、精神慰藉、康乐活动、安全管理、协助就医、护理文书书写及甲方交办的其他工作，具体如下：</w:t>
      </w:r>
    </w:p>
    <w:p w14:paraId="2022569C">
      <w:pPr>
        <w:tabs>
          <w:tab w:val="left" w:pos="208"/>
        </w:tabs>
        <w:spacing w:line="360" w:lineRule="auto"/>
        <w:ind w:firstLine="420" w:firstLineChars="200"/>
        <w:jc w:val="left"/>
        <w:rPr>
          <w:rFonts w:hint="eastAsia" w:ascii="宋体" w:hAnsi="宋体"/>
          <w:szCs w:val="24"/>
        </w:rPr>
      </w:pPr>
      <w:r>
        <w:rPr>
          <w:rFonts w:hint="eastAsia" w:ascii="宋体" w:hAnsi="宋体"/>
          <w:szCs w:val="24"/>
        </w:rPr>
        <w:t>清洁卫生服务：负责全院长者居住楼栋内环境清洁与消毒，涵盖长者居室、公共活动区域及设备用房，确保环境整洁、空气清新、卫生达标。</w:t>
      </w:r>
    </w:p>
    <w:p w14:paraId="606153A5">
      <w:pPr>
        <w:tabs>
          <w:tab w:val="left" w:pos="208"/>
        </w:tabs>
        <w:spacing w:line="360" w:lineRule="auto"/>
        <w:ind w:firstLine="420" w:firstLineChars="200"/>
        <w:jc w:val="left"/>
        <w:rPr>
          <w:rFonts w:hint="eastAsia" w:ascii="宋体" w:hAnsi="宋体"/>
          <w:szCs w:val="24"/>
        </w:rPr>
      </w:pPr>
      <w:r>
        <w:rPr>
          <w:rFonts w:hint="eastAsia" w:ascii="宋体" w:hAnsi="宋体"/>
          <w:szCs w:val="24"/>
        </w:rPr>
        <w:t>生活照料服务：</w:t>
      </w:r>
    </w:p>
    <w:p w14:paraId="10D2CAE5">
      <w:pPr>
        <w:tabs>
          <w:tab w:val="left" w:pos="208"/>
        </w:tabs>
        <w:spacing w:line="360" w:lineRule="auto"/>
        <w:ind w:firstLine="420" w:firstLineChars="200"/>
        <w:jc w:val="left"/>
        <w:rPr>
          <w:rFonts w:hint="eastAsia" w:ascii="宋体" w:hAnsi="宋体"/>
          <w:szCs w:val="24"/>
        </w:rPr>
      </w:pPr>
      <w:r>
        <w:rPr>
          <w:rFonts w:hint="eastAsia" w:ascii="宋体" w:hAnsi="宋体"/>
          <w:szCs w:val="24"/>
        </w:rPr>
        <w:t>日常起居照料：协助长者起床、穿脱衣物、洗漱、梳理头发、剃须、修剪指甲（灰指甲除外），保持长者身体清洁与良好个人形象；协助长者做好睡前准备（如洗漱、更换睡衣），保障舒适入睡；定期更换床上用品、晒被擦席，协助长者整理房间、摆放物品；根据长者身体状况提供体位转移协助。</w:t>
      </w:r>
    </w:p>
    <w:p w14:paraId="01BE6087">
      <w:pPr>
        <w:tabs>
          <w:tab w:val="left" w:pos="208"/>
        </w:tabs>
        <w:spacing w:line="360" w:lineRule="auto"/>
        <w:ind w:firstLine="420" w:firstLineChars="200"/>
        <w:jc w:val="left"/>
        <w:rPr>
          <w:rFonts w:hint="eastAsia" w:ascii="宋体" w:hAnsi="宋体"/>
          <w:szCs w:val="24"/>
        </w:rPr>
      </w:pPr>
      <w:r>
        <w:rPr>
          <w:rFonts w:hint="eastAsia" w:ascii="宋体" w:hAnsi="宋体"/>
          <w:szCs w:val="24"/>
        </w:rPr>
        <w:t>饮食照料：提供点餐</w:t>
      </w:r>
      <w:r>
        <w:rPr>
          <w:rFonts w:hint="eastAsia" w:ascii="宋体" w:hAnsi="宋体"/>
          <w:szCs w:val="24"/>
          <w:highlight w:val="none"/>
        </w:rPr>
        <w:t>、</w:t>
      </w:r>
      <w:r>
        <w:rPr>
          <w:rFonts w:hint="eastAsia" w:ascii="宋体" w:hAnsi="宋体"/>
          <w:szCs w:val="24"/>
          <w:highlight w:val="none"/>
          <w:lang w:eastAsia="zh-CN"/>
        </w:rPr>
        <w:t>配合食堂</w:t>
      </w:r>
      <w:r>
        <w:rPr>
          <w:rFonts w:hint="eastAsia" w:ascii="宋体" w:hAnsi="宋体"/>
          <w:szCs w:val="24"/>
          <w:highlight w:val="none"/>
        </w:rPr>
        <w:t>送餐、食物微波炉加热、匀浆饮食制作及三餐后</w:t>
      </w:r>
      <w:r>
        <w:rPr>
          <w:rFonts w:hint="eastAsia" w:ascii="宋体" w:hAnsi="宋体"/>
          <w:szCs w:val="24"/>
          <w:highlight w:val="none"/>
          <w:lang w:eastAsia="zh-CN"/>
        </w:rPr>
        <w:t>配合食堂回收</w:t>
      </w:r>
      <w:r>
        <w:rPr>
          <w:rFonts w:hint="eastAsia" w:ascii="宋体" w:hAnsi="宋体"/>
          <w:szCs w:val="24"/>
        </w:rPr>
        <w:t>餐具服务；协助长者进食，为无法自主进食的长者提供喂食或鼻饲服务。</w:t>
      </w:r>
    </w:p>
    <w:p w14:paraId="7F89CA65">
      <w:pPr>
        <w:tabs>
          <w:tab w:val="left" w:pos="208"/>
        </w:tabs>
        <w:spacing w:line="360" w:lineRule="auto"/>
        <w:ind w:firstLine="420" w:firstLineChars="200"/>
        <w:jc w:val="left"/>
        <w:rPr>
          <w:rFonts w:hint="eastAsia" w:ascii="宋体" w:hAnsi="宋体"/>
          <w:szCs w:val="24"/>
        </w:rPr>
      </w:pPr>
      <w:r>
        <w:rPr>
          <w:rFonts w:hint="eastAsia" w:ascii="宋体" w:hAnsi="宋体"/>
          <w:szCs w:val="24"/>
        </w:rPr>
        <w:t>排泄照料：协助长者如厕，为行动不便长者提供便盆、尿壶、床旁坐便椅等排泄辅助器具使用服务，做好便后处理及便器清洗消毒；定期为长者更换尿袋、尿不湿、尿垫等；观察长者排泄情况，异常时及时通知医护人员。</w:t>
      </w:r>
    </w:p>
    <w:p w14:paraId="64267D1A">
      <w:pPr>
        <w:tabs>
          <w:tab w:val="left" w:pos="208"/>
        </w:tabs>
        <w:spacing w:line="360" w:lineRule="auto"/>
        <w:ind w:firstLine="420" w:firstLineChars="200"/>
        <w:jc w:val="left"/>
        <w:rPr>
          <w:rFonts w:hint="eastAsia" w:ascii="宋体" w:hAnsi="宋体"/>
          <w:szCs w:val="24"/>
        </w:rPr>
      </w:pPr>
      <w:r>
        <w:rPr>
          <w:rFonts w:hint="eastAsia" w:ascii="宋体" w:hAnsi="宋体"/>
          <w:szCs w:val="24"/>
        </w:rPr>
        <w:t>洗漱照料：定期为长者提供洗澡、洗头、洗脸、洗脚、会阴清洁服务，为无法自主洗浴的长者提供擦浴；协助长者进行口腔清洁（如漱口、刷牙、口腔护理棒清洁等）。</w:t>
      </w:r>
    </w:p>
    <w:p w14:paraId="339A3B51">
      <w:pPr>
        <w:tabs>
          <w:tab w:val="left" w:pos="208"/>
        </w:tabs>
        <w:spacing w:line="360" w:lineRule="auto"/>
        <w:ind w:firstLine="420" w:firstLineChars="200"/>
        <w:jc w:val="left"/>
        <w:rPr>
          <w:rFonts w:hint="eastAsia" w:ascii="宋体" w:hAnsi="宋体"/>
          <w:szCs w:val="24"/>
        </w:rPr>
      </w:pPr>
      <w:r>
        <w:rPr>
          <w:rFonts w:hint="eastAsia" w:ascii="宋体" w:hAnsi="宋体"/>
          <w:szCs w:val="24"/>
        </w:rPr>
        <w:t>衣物送洗服务：收集、整理长者待洗衣物，统一送往洗衣房清洗后收回，或协助长者使用自助式洗衣设备。</w:t>
      </w:r>
    </w:p>
    <w:p w14:paraId="3EE26958">
      <w:pPr>
        <w:tabs>
          <w:tab w:val="left" w:pos="208"/>
        </w:tabs>
        <w:spacing w:line="360" w:lineRule="auto"/>
        <w:ind w:firstLine="420" w:firstLineChars="200"/>
        <w:jc w:val="left"/>
        <w:rPr>
          <w:rFonts w:hint="eastAsia" w:ascii="宋体" w:hAnsi="宋体"/>
          <w:szCs w:val="24"/>
        </w:rPr>
      </w:pPr>
      <w:r>
        <w:rPr>
          <w:rFonts w:hint="eastAsia" w:ascii="宋体" w:hAnsi="宋体"/>
          <w:szCs w:val="24"/>
        </w:rPr>
        <w:t>缓和照护：为临终长者提供照护服务，减轻身体疼痛的同时关注心理感受；长者去世后，提供遗物整理服务。</w:t>
      </w:r>
    </w:p>
    <w:p w14:paraId="0EF0236C">
      <w:pPr>
        <w:tabs>
          <w:tab w:val="left" w:pos="208"/>
        </w:tabs>
        <w:spacing w:line="360" w:lineRule="auto"/>
        <w:ind w:firstLine="420" w:firstLineChars="200"/>
        <w:jc w:val="left"/>
        <w:rPr>
          <w:rFonts w:hint="eastAsia" w:ascii="宋体" w:hAnsi="宋体"/>
          <w:szCs w:val="24"/>
        </w:rPr>
      </w:pPr>
      <w:r>
        <w:rPr>
          <w:rFonts w:hint="eastAsia" w:ascii="宋体" w:hAnsi="宋体"/>
          <w:szCs w:val="24"/>
        </w:rPr>
        <w:t>基础健康监测：定期为长者测量体温、血压，发现异常及时</w:t>
      </w:r>
      <w:r>
        <w:rPr>
          <w:rFonts w:hint="eastAsia" w:ascii="宋体" w:hAnsi="宋体"/>
          <w:szCs w:val="24"/>
          <w:lang w:eastAsia="zh-CN"/>
        </w:rPr>
        <w:t>汇报</w:t>
      </w:r>
      <w:r>
        <w:rPr>
          <w:rFonts w:hint="eastAsia" w:ascii="宋体" w:hAnsi="宋体"/>
          <w:szCs w:val="24"/>
        </w:rPr>
        <w:t>医务人员。</w:t>
      </w:r>
    </w:p>
    <w:p w14:paraId="2D8BA088">
      <w:pPr>
        <w:tabs>
          <w:tab w:val="left" w:pos="208"/>
        </w:tabs>
        <w:spacing w:line="360" w:lineRule="auto"/>
        <w:ind w:firstLine="420" w:firstLineChars="200"/>
        <w:jc w:val="left"/>
        <w:rPr>
          <w:rFonts w:hint="eastAsia" w:ascii="宋体" w:hAnsi="宋体"/>
          <w:szCs w:val="24"/>
        </w:rPr>
      </w:pPr>
      <w:r>
        <w:rPr>
          <w:rFonts w:hint="eastAsia" w:ascii="宋体" w:hAnsi="宋体"/>
          <w:szCs w:val="24"/>
        </w:rPr>
        <w:t>心理/精神支持服务：关注长者心理状态，及时发现并介入心理问题；与长者沟通交流、倾听心声，缓解孤独感与焦虑感；定期联系长者家属，搭建情感联结；鼓励长者参与志愿者活动，提升自我价值感。</w:t>
      </w:r>
    </w:p>
    <w:p w14:paraId="609A4105">
      <w:pPr>
        <w:tabs>
          <w:tab w:val="left" w:pos="208"/>
        </w:tabs>
        <w:spacing w:line="360" w:lineRule="auto"/>
        <w:ind w:firstLine="420" w:firstLineChars="200"/>
        <w:jc w:val="left"/>
        <w:rPr>
          <w:rFonts w:hint="eastAsia" w:ascii="宋体" w:hAnsi="宋体"/>
          <w:szCs w:val="24"/>
        </w:rPr>
      </w:pPr>
      <w:r>
        <w:rPr>
          <w:rFonts w:hint="eastAsia" w:ascii="宋体" w:hAnsi="宋体"/>
          <w:szCs w:val="24"/>
        </w:rPr>
        <w:t>文化娱乐服务：</w:t>
      </w:r>
      <w:r>
        <w:rPr>
          <w:rFonts w:hint="eastAsia" w:ascii="宋体" w:hAnsi="宋体"/>
          <w:szCs w:val="24"/>
          <w:lang w:val="en-US" w:eastAsia="zh-CN"/>
        </w:rPr>
        <w:t>配合甲方，</w:t>
      </w:r>
      <w:r>
        <w:rPr>
          <w:rFonts w:hint="eastAsia" w:ascii="宋体" w:hAnsi="宋体"/>
          <w:szCs w:val="24"/>
        </w:rPr>
        <w:t>定期组织长者参与文化娱乐活动，丰富精神生活；按楼层开展手指操、手工、唱歌、棋牌、趣味游戏等适宜长者的活动。</w:t>
      </w:r>
    </w:p>
    <w:p w14:paraId="18BD3ED3">
      <w:pPr>
        <w:tabs>
          <w:tab w:val="left" w:pos="208"/>
        </w:tabs>
        <w:spacing w:line="360" w:lineRule="auto"/>
        <w:ind w:firstLine="420" w:firstLineChars="200"/>
        <w:jc w:val="left"/>
        <w:rPr>
          <w:rFonts w:hint="eastAsia" w:ascii="宋体" w:hAnsi="宋体"/>
          <w:szCs w:val="24"/>
        </w:rPr>
      </w:pPr>
      <w:r>
        <w:rPr>
          <w:rFonts w:hint="eastAsia" w:ascii="宋体" w:hAnsi="宋体"/>
          <w:szCs w:val="24"/>
        </w:rPr>
        <w:t>安全管理服务：按甲方要求护理员每2小时巡视长者房间及楼层，关注长者身心状态，及时处理异常情况；定期检查长者食品、药品，协助处理过期变质物品；根据护理等级提供协助服药、院内代配药服务；熟练掌握《养老机构服务安全基本规范》中意外事件防范及处理流程；协调拼房长者矛盾，促进和谐相处；落实消防安全工作，定期组织护理员消防安全培训，确保所有工作人员熟练使用消防设施设备、掌握应急疏散救援流程。</w:t>
      </w:r>
    </w:p>
    <w:p w14:paraId="2F1FEE9C">
      <w:pPr>
        <w:tabs>
          <w:tab w:val="left" w:pos="208"/>
        </w:tabs>
        <w:spacing w:line="360" w:lineRule="auto"/>
        <w:ind w:firstLine="420" w:firstLineChars="200"/>
        <w:jc w:val="left"/>
        <w:rPr>
          <w:rFonts w:hint="eastAsia" w:ascii="宋体" w:hAnsi="宋体"/>
          <w:szCs w:val="24"/>
        </w:rPr>
      </w:pPr>
      <w:r>
        <w:rPr>
          <w:rFonts w:hint="eastAsia" w:ascii="宋体" w:hAnsi="宋体"/>
          <w:szCs w:val="24"/>
        </w:rPr>
        <w:t>日常管理服务：甲方为长者办理请假、销假手续，</w:t>
      </w:r>
      <w:r>
        <w:rPr>
          <w:rFonts w:hint="eastAsia" w:ascii="宋体" w:hAnsi="宋体"/>
          <w:szCs w:val="24"/>
          <w:highlight w:val="none"/>
          <w:lang w:eastAsia="zh-CN"/>
        </w:rPr>
        <w:t>乙方协助甲方</w:t>
      </w:r>
      <w:r>
        <w:rPr>
          <w:rFonts w:hint="eastAsia" w:ascii="宋体" w:hAnsi="宋体"/>
          <w:szCs w:val="24"/>
        </w:rPr>
        <w:t>做好请假期间情况跟进；对重点长者加强关注，做好相关记录，异常情况及时汇报处理。</w:t>
      </w:r>
    </w:p>
    <w:p w14:paraId="771194DC">
      <w:pPr>
        <w:tabs>
          <w:tab w:val="left" w:pos="208"/>
        </w:tabs>
        <w:spacing w:line="360" w:lineRule="auto"/>
        <w:ind w:firstLine="420" w:firstLineChars="200"/>
        <w:jc w:val="left"/>
        <w:rPr>
          <w:rFonts w:hint="eastAsia" w:ascii="宋体" w:hAnsi="宋体"/>
          <w:szCs w:val="24"/>
        </w:rPr>
      </w:pPr>
      <w:r>
        <w:rPr>
          <w:rFonts w:hint="eastAsia" w:ascii="宋体" w:hAnsi="宋体"/>
          <w:szCs w:val="24"/>
        </w:rPr>
        <w:t>协助就医服务：根据长者需求提供陪同就医、院内康复接送、陪同输液等服务。</w:t>
      </w:r>
    </w:p>
    <w:p w14:paraId="7888B2FB">
      <w:pPr>
        <w:tabs>
          <w:tab w:val="left" w:pos="208"/>
        </w:tabs>
        <w:spacing w:line="360" w:lineRule="auto"/>
        <w:ind w:firstLine="420" w:firstLineChars="200"/>
        <w:jc w:val="left"/>
        <w:rPr>
          <w:rFonts w:hint="eastAsia" w:ascii="宋体" w:hAnsi="宋体"/>
          <w:szCs w:val="24"/>
        </w:rPr>
      </w:pPr>
      <w:r>
        <w:rPr>
          <w:rFonts w:hint="eastAsia" w:ascii="宋体" w:hAnsi="宋体"/>
          <w:szCs w:val="24"/>
        </w:rPr>
        <w:t>护理文书管理：按甲方规范及时、准确记录护理文书，确保数据真实、档案完整，不得凭空捏造相关记录，不得主观而为之，如有违反3次以上，甲方可酌情对乙方进行处罚。未经允许乙方护理员不得翻阅康养人员的档案资料。</w:t>
      </w:r>
    </w:p>
    <w:p w14:paraId="2F473927">
      <w:pPr>
        <w:tabs>
          <w:tab w:val="left" w:pos="208"/>
        </w:tabs>
        <w:spacing w:line="360" w:lineRule="auto"/>
        <w:ind w:firstLine="420" w:firstLineChars="200"/>
        <w:jc w:val="left"/>
        <w:rPr>
          <w:rFonts w:hint="eastAsia" w:ascii="宋体" w:hAnsi="宋体"/>
          <w:szCs w:val="24"/>
        </w:rPr>
      </w:pPr>
      <w:r>
        <w:rPr>
          <w:rFonts w:hint="eastAsia" w:ascii="宋体" w:hAnsi="宋体"/>
          <w:szCs w:val="24"/>
        </w:rPr>
        <w:t>技能提升要求：乙方每年组织1次养老护理员技能竞赛，以赛促学提升服务水平。</w:t>
      </w:r>
    </w:p>
    <w:p w14:paraId="5A684B48">
      <w:pPr>
        <w:tabs>
          <w:tab w:val="left" w:pos="208"/>
        </w:tabs>
        <w:spacing w:line="360" w:lineRule="auto"/>
        <w:ind w:firstLine="420" w:firstLineChars="200"/>
        <w:jc w:val="left"/>
        <w:rPr>
          <w:rFonts w:hint="eastAsia" w:ascii="宋体" w:hAnsi="宋体"/>
          <w:szCs w:val="24"/>
        </w:rPr>
      </w:pPr>
      <w:r>
        <w:rPr>
          <w:rFonts w:hint="eastAsia" w:ascii="宋体" w:hAnsi="宋体"/>
          <w:szCs w:val="24"/>
        </w:rPr>
        <w:t>其他工作：配合甲方开展日常活动、处理突发意外事件等其他交办工作。</w:t>
      </w:r>
    </w:p>
    <w:p w14:paraId="6E1CF93F">
      <w:pPr>
        <w:tabs>
          <w:tab w:val="left" w:pos="208"/>
        </w:tabs>
        <w:spacing w:line="360" w:lineRule="auto"/>
        <w:ind w:firstLine="420" w:firstLineChars="200"/>
        <w:jc w:val="left"/>
        <w:rPr>
          <w:rFonts w:hint="eastAsia" w:ascii="宋体" w:hAnsi="宋体"/>
          <w:szCs w:val="24"/>
        </w:rPr>
      </w:pPr>
      <w:r>
        <w:rPr>
          <w:rFonts w:hint="eastAsia" w:ascii="宋体" w:hAnsi="宋体"/>
          <w:szCs w:val="24"/>
        </w:rPr>
        <w:t>（二）护理服务要求</w:t>
      </w:r>
    </w:p>
    <w:p w14:paraId="6892DBE6">
      <w:pPr>
        <w:tabs>
          <w:tab w:val="left" w:pos="208"/>
        </w:tabs>
        <w:spacing w:line="360" w:lineRule="auto"/>
        <w:ind w:firstLine="630" w:firstLineChars="300"/>
        <w:jc w:val="left"/>
        <w:rPr>
          <w:rFonts w:hint="eastAsia" w:ascii="宋体" w:hAnsi="宋体"/>
          <w:szCs w:val="24"/>
        </w:rPr>
      </w:pPr>
      <w:r>
        <w:rPr>
          <w:rFonts w:hint="eastAsia" w:ascii="宋体" w:hAnsi="宋体"/>
          <w:szCs w:val="24"/>
        </w:rPr>
        <w:t>1. 通用服务要求</w:t>
      </w:r>
    </w:p>
    <w:p w14:paraId="650AE3B0">
      <w:pPr>
        <w:tabs>
          <w:tab w:val="left" w:pos="208"/>
        </w:tabs>
        <w:spacing w:line="360" w:lineRule="auto"/>
        <w:ind w:firstLine="630" w:firstLineChars="300"/>
        <w:jc w:val="left"/>
        <w:rPr>
          <w:rFonts w:hint="eastAsia" w:ascii="宋体" w:hAnsi="宋体"/>
          <w:szCs w:val="24"/>
        </w:rPr>
      </w:pPr>
      <w:r>
        <w:rPr>
          <w:rFonts w:hint="eastAsia" w:ascii="宋体" w:hAnsi="宋体"/>
          <w:szCs w:val="24"/>
        </w:rPr>
        <w:t>1.1 发生重大自然灾害、事故灾难、传染病流行或其他意外情况时，乙方须服从甲方统一调遣，全力配合应急处置工作。</w:t>
      </w:r>
    </w:p>
    <w:p w14:paraId="6DCDCEAC">
      <w:pPr>
        <w:tabs>
          <w:tab w:val="left" w:pos="208"/>
        </w:tabs>
        <w:spacing w:line="360" w:lineRule="auto"/>
        <w:ind w:firstLine="630" w:firstLineChars="300"/>
        <w:jc w:val="left"/>
        <w:rPr>
          <w:rFonts w:hint="eastAsia" w:ascii="宋体" w:hAnsi="宋体"/>
          <w:szCs w:val="24"/>
        </w:rPr>
      </w:pPr>
      <w:r>
        <w:rPr>
          <w:rFonts w:hint="eastAsia" w:ascii="宋体" w:hAnsi="宋体"/>
          <w:szCs w:val="24"/>
        </w:rPr>
        <w:t>1.2 乙方不得在服务场所内开展宗教活动、产品销售等与长者照护无关的活动。</w:t>
      </w:r>
    </w:p>
    <w:p w14:paraId="0B7E805E">
      <w:pPr>
        <w:tabs>
          <w:tab w:val="left" w:pos="208"/>
        </w:tabs>
        <w:spacing w:line="360" w:lineRule="auto"/>
        <w:ind w:firstLine="630" w:firstLineChars="300"/>
        <w:jc w:val="left"/>
        <w:rPr>
          <w:rFonts w:hint="eastAsia" w:ascii="宋体" w:hAnsi="宋体"/>
          <w:szCs w:val="24"/>
        </w:rPr>
      </w:pPr>
      <w:r>
        <w:rPr>
          <w:rFonts w:hint="eastAsia" w:ascii="宋体" w:hAnsi="宋体"/>
          <w:szCs w:val="24"/>
        </w:rPr>
        <w:t>1.3 若甲方因特殊情况采取封闭或半封闭管理，乙方须严格遵守管理规定，安排专人驻院负责相关工作，保障照护服务正常开展。</w:t>
      </w:r>
    </w:p>
    <w:p w14:paraId="0F0F4E93">
      <w:pPr>
        <w:tabs>
          <w:tab w:val="left" w:pos="208"/>
        </w:tabs>
        <w:spacing w:line="360" w:lineRule="auto"/>
        <w:ind w:firstLine="630" w:firstLineChars="300"/>
        <w:jc w:val="left"/>
        <w:rPr>
          <w:rFonts w:hint="eastAsia" w:ascii="宋体" w:hAnsi="宋体"/>
          <w:szCs w:val="24"/>
        </w:rPr>
      </w:pPr>
      <w:r>
        <w:rPr>
          <w:rFonts w:hint="eastAsia" w:ascii="宋体" w:hAnsi="宋体"/>
          <w:szCs w:val="24"/>
        </w:rPr>
        <w:t>1.4 乙方应制定具体的质量保证措施、服务承诺及应急预案，所有工作除按内部流程执行外，须接受甲方或第三方随时检查。若服务质量未达约定标准，甲方有权要求限期整改，乙方须承担相应责任及经济赔偿。</w:t>
      </w:r>
    </w:p>
    <w:p w14:paraId="59460843">
      <w:pPr>
        <w:tabs>
          <w:tab w:val="left" w:pos="208"/>
        </w:tabs>
        <w:spacing w:line="360" w:lineRule="auto"/>
        <w:ind w:firstLine="630" w:firstLineChars="300"/>
        <w:jc w:val="left"/>
        <w:rPr>
          <w:rFonts w:hint="eastAsia" w:ascii="宋体" w:hAnsi="宋体"/>
          <w:szCs w:val="24"/>
        </w:rPr>
      </w:pPr>
      <w:r>
        <w:rPr>
          <w:rFonts w:hint="eastAsia" w:ascii="宋体" w:hAnsi="宋体"/>
          <w:szCs w:val="24"/>
        </w:rPr>
        <w:t>1.5 甲方采取 “日常抽查 + 每月实地检查” 方式考核服务质量：</w:t>
      </w:r>
    </w:p>
    <w:p w14:paraId="6EB7C848">
      <w:pPr>
        <w:tabs>
          <w:tab w:val="left" w:pos="208"/>
        </w:tabs>
        <w:spacing w:line="360" w:lineRule="auto"/>
        <w:ind w:firstLine="630" w:firstLineChars="300"/>
        <w:jc w:val="left"/>
        <w:rPr>
          <w:rFonts w:hint="eastAsia" w:ascii="宋体" w:hAnsi="宋体"/>
          <w:szCs w:val="24"/>
        </w:rPr>
      </w:pPr>
      <w:r>
        <w:rPr>
          <w:rFonts w:hint="eastAsia" w:ascii="宋体" w:hAnsi="宋体"/>
          <w:szCs w:val="24"/>
        </w:rPr>
        <w:t>日常不定期抽查：贯穿服务全过程，记录实时服务情况；每月1次实地检查：对照考核标准全面核查；乙方须在收到整改意见后5个工作日内反馈整改方案及时限。</w:t>
      </w:r>
    </w:p>
    <w:p w14:paraId="1B8B591C">
      <w:pPr>
        <w:tabs>
          <w:tab w:val="left" w:pos="208"/>
        </w:tabs>
        <w:spacing w:line="360" w:lineRule="auto"/>
        <w:ind w:firstLine="630" w:firstLineChars="300"/>
        <w:jc w:val="left"/>
        <w:rPr>
          <w:rFonts w:hint="default" w:ascii="宋体" w:hAnsi="宋体" w:eastAsia="宋体"/>
          <w:szCs w:val="24"/>
          <w:highlight w:val="yellow"/>
          <w:lang w:val="en-US" w:eastAsia="zh-CN"/>
        </w:rPr>
      </w:pPr>
      <w:r>
        <w:rPr>
          <w:rFonts w:hint="eastAsia" w:ascii="宋体" w:hAnsi="宋体"/>
          <w:szCs w:val="24"/>
        </w:rPr>
        <w:t>1.6 乙方可在不降低护理质量的前提下，对护理方案进行合理优化，但须提前 3 个工作日向甲方提交书面报备材料，经甲方同意后实施。</w:t>
      </w:r>
      <w:r>
        <w:rPr>
          <w:rFonts w:hint="eastAsia" w:ascii="宋体" w:hAnsi="宋体"/>
          <w:szCs w:val="24"/>
          <w:highlight w:val="none"/>
          <w:lang w:val="en-US" w:eastAsia="zh-CN"/>
        </w:rPr>
        <w:t xml:space="preserve">      </w:t>
      </w:r>
    </w:p>
    <w:p w14:paraId="4BE650D3">
      <w:pPr>
        <w:tabs>
          <w:tab w:val="left" w:pos="208"/>
        </w:tabs>
        <w:spacing w:line="360" w:lineRule="auto"/>
        <w:ind w:firstLine="420" w:firstLineChars="200"/>
        <w:jc w:val="left"/>
        <w:rPr>
          <w:rFonts w:hint="eastAsia" w:ascii="宋体" w:hAnsi="宋体"/>
          <w:szCs w:val="24"/>
        </w:rPr>
      </w:pPr>
      <w:r>
        <w:rPr>
          <w:rFonts w:hint="eastAsia" w:ascii="宋体" w:hAnsi="宋体"/>
          <w:szCs w:val="24"/>
        </w:rPr>
        <w:t>2. 人员配备与管理要求</w:t>
      </w:r>
    </w:p>
    <w:p w14:paraId="5DB79DB2">
      <w:pPr>
        <w:spacing w:line="360" w:lineRule="auto"/>
        <w:ind w:firstLine="420"/>
        <w:jc w:val="left"/>
        <w:rPr>
          <w:rFonts w:hint="eastAsia" w:ascii="宋体" w:hAnsi="宋体"/>
          <w:szCs w:val="24"/>
        </w:rPr>
      </w:pPr>
      <w:r>
        <w:rPr>
          <w:rFonts w:hint="eastAsia" w:ascii="宋体" w:hAnsi="宋体"/>
          <w:szCs w:val="24"/>
        </w:rPr>
        <w:t>2.1 人员配置标准：在本协议期内，乙方至少无条件为康养中心配置专职项目主管1</w:t>
      </w:r>
      <w:r>
        <w:rPr>
          <w:rFonts w:hint="eastAsia" w:ascii="宋体" w:hAnsi="宋体"/>
          <w:szCs w:val="24"/>
          <w:lang w:val="en-US" w:eastAsia="zh-CN"/>
        </w:rPr>
        <w:t>-2</w:t>
      </w:r>
      <w:r>
        <w:rPr>
          <w:rFonts w:hint="eastAsia" w:ascii="宋体" w:hAnsi="宋体"/>
          <w:szCs w:val="24"/>
        </w:rPr>
        <w:t>名。甲方需要护理员人员时，以有效方式通知乙方，乙方根据甲方用工需求在</w:t>
      </w:r>
      <w:r>
        <w:rPr>
          <w:rFonts w:hint="eastAsia" w:ascii="宋体" w:hAnsi="宋体"/>
          <w:szCs w:val="24"/>
          <w:highlight w:val="none"/>
          <w:lang w:val="en-US" w:eastAsia="zh-CN"/>
        </w:rPr>
        <w:t>48</w:t>
      </w:r>
      <w:r>
        <w:rPr>
          <w:rFonts w:hint="eastAsia" w:ascii="宋体" w:hAnsi="宋体"/>
          <w:szCs w:val="24"/>
        </w:rPr>
        <w:t>小时内提供相应的岗位人员。</w:t>
      </w:r>
    </w:p>
    <w:p w14:paraId="682996D8">
      <w:pPr>
        <w:tabs>
          <w:tab w:val="left" w:pos="208"/>
        </w:tabs>
        <w:spacing w:line="360" w:lineRule="auto"/>
        <w:ind w:firstLine="420" w:firstLineChars="200"/>
        <w:jc w:val="left"/>
        <w:rPr>
          <w:rFonts w:hint="eastAsia" w:ascii="宋体" w:hAnsi="宋体"/>
          <w:color w:val="auto"/>
          <w:szCs w:val="24"/>
          <w:highlight w:val="none"/>
        </w:rPr>
      </w:pPr>
      <w:r>
        <w:rPr>
          <w:rFonts w:hint="eastAsia" w:ascii="宋体" w:hAnsi="宋体"/>
          <w:szCs w:val="24"/>
        </w:rPr>
        <w:t>2.2 人员稳定性管理：乙方应保障服务团队稳定，如需调整人员，须提前3个工作日向甲方提交书面报备材料（含调整原因、新人员资质证明等），经甲方同意后方可调整；若甲方对服务团队成员工作表现不满意，</w:t>
      </w:r>
      <w:r>
        <w:rPr>
          <w:rFonts w:hint="eastAsia" w:ascii="宋体" w:hAnsi="宋体"/>
          <w:color w:val="auto"/>
          <w:szCs w:val="24"/>
          <w:highlight w:val="none"/>
        </w:rPr>
        <w:t>乙方须在</w:t>
      </w:r>
      <w:r>
        <w:rPr>
          <w:rFonts w:hint="eastAsia" w:ascii="宋体" w:hAnsi="宋体"/>
          <w:color w:val="auto"/>
          <w:szCs w:val="24"/>
          <w:highlight w:val="none"/>
          <w:lang w:val="en-US" w:eastAsia="zh-CN"/>
        </w:rPr>
        <w:t>3</w:t>
      </w:r>
      <w:r>
        <w:rPr>
          <w:rFonts w:hint="eastAsia" w:ascii="宋体" w:hAnsi="宋体"/>
          <w:b w:val="0"/>
          <w:bCs w:val="0"/>
          <w:color w:val="auto"/>
          <w:szCs w:val="24"/>
          <w:highlight w:val="none"/>
        </w:rPr>
        <w:t>个工作日</w:t>
      </w:r>
      <w:r>
        <w:rPr>
          <w:rFonts w:hint="eastAsia" w:ascii="宋体" w:hAnsi="宋体"/>
          <w:color w:val="auto"/>
          <w:szCs w:val="24"/>
          <w:highlight w:val="none"/>
        </w:rPr>
        <w:t>内配合更换合适人员。</w:t>
      </w:r>
    </w:p>
    <w:p w14:paraId="1E8CCCDD">
      <w:pPr>
        <w:tabs>
          <w:tab w:val="left" w:pos="208"/>
        </w:tabs>
        <w:spacing w:line="360" w:lineRule="auto"/>
        <w:ind w:firstLine="420" w:firstLineChars="200"/>
        <w:jc w:val="left"/>
        <w:rPr>
          <w:rFonts w:hint="eastAsia" w:ascii="宋体" w:hAnsi="宋体"/>
          <w:szCs w:val="24"/>
        </w:rPr>
      </w:pPr>
      <w:r>
        <w:rPr>
          <w:rFonts w:hint="eastAsia" w:ascii="宋体" w:hAnsi="宋体"/>
          <w:szCs w:val="24"/>
        </w:rPr>
        <w:t>2.3 健康资质要求：新员工入职前须提供3个月内的入职体检报告，存在以下情况者不得入职：</w:t>
      </w:r>
    </w:p>
    <w:p w14:paraId="1A9BFF72">
      <w:pPr>
        <w:tabs>
          <w:tab w:val="left" w:pos="208"/>
        </w:tabs>
        <w:spacing w:line="360" w:lineRule="auto"/>
        <w:ind w:firstLine="420" w:firstLineChars="200"/>
        <w:jc w:val="left"/>
        <w:rPr>
          <w:rFonts w:hint="eastAsia" w:ascii="宋体" w:hAnsi="宋体"/>
          <w:szCs w:val="24"/>
        </w:rPr>
      </w:pPr>
      <w:r>
        <w:rPr>
          <w:rFonts w:hint="eastAsia" w:ascii="宋体" w:hAnsi="宋体"/>
          <w:szCs w:val="24"/>
        </w:rPr>
        <w:t>传染病活动期：肺结核（活动期，非陈旧性钙化灶）、甲型 / 戊型肝炎（急性期）、梅毒、淋病、艾滋病、肠道传染病、传染性皮肤病（如脓疱疮、传染性湿疹）等；</w:t>
      </w:r>
    </w:p>
    <w:p w14:paraId="6DA384FD">
      <w:pPr>
        <w:tabs>
          <w:tab w:val="left" w:pos="208"/>
        </w:tabs>
        <w:spacing w:line="360" w:lineRule="auto"/>
        <w:ind w:firstLine="420" w:firstLineChars="200"/>
        <w:jc w:val="left"/>
        <w:rPr>
          <w:rFonts w:hint="eastAsia" w:ascii="宋体" w:hAnsi="宋体"/>
          <w:szCs w:val="24"/>
        </w:rPr>
      </w:pPr>
      <w:r>
        <w:rPr>
          <w:rFonts w:hint="eastAsia" w:ascii="宋体" w:hAnsi="宋体"/>
          <w:szCs w:val="24"/>
        </w:rPr>
        <w:t>严重心脑血管疾病：器质性心脏病（如风湿性心脏病、冠心病）、未控制的高血压（≥160/100mmHg）、严重心律失常、重度贫血、心肌缺血等；</w:t>
      </w:r>
    </w:p>
    <w:p w14:paraId="3531D02D">
      <w:pPr>
        <w:tabs>
          <w:tab w:val="left" w:pos="208"/>
        </w:tabs>
        <w:spacing w:line="360" w:lineRule="auto"/>
        <w:ind w:firstLine="420" w:firstLineChars="200"/>
        <w:jc w:val="left"/>
        <w:rPr>
          <w:rFonts w:hint="eastAsia" w:ascii="宋体" w:hAnsi="宋体"/>
          <w:szCs w:val="24"/>
        </w:rPr>
      </w:pPr>
      <w:r>
        <w:rPr>
          <w:rFonts w:hint="eastAsia" w:ascii="宋体" w:hAnsi="宋体"/>
          <w:szCs w:val="24"/>
        </w:rPr>
        <w:t>精神/神经系统疾病：精神分裂症、双相情感障碍等精神病史、癫痫（含治愈期）、药物或酒精依赖等；</w:t>
      </w:r>
    </w:p>
    <w:p w14:paraId="530C2856">
      <w:pPr>
        <w:tabs>
          <w:tab w:val="left" w:pos="208"/>
        </w:tabs>
        <w:spacing w:line="360" w:lineRule="auto"/>
        <w:ind w:firstLine="420" w:firstLineChars="200"/>
        <w:jc w:val="left"/>
        <w:rPr>
          <w:rFonts w:hint="eastAsia" w:ascii="宋体" w:hAnsi="宋体"/>
          <w:szCs w:val="24"/>
        </w:rPr>
      </w:pPr>
      <w:r>
        <w:rPr>
          <w:rFonts w:hint="eastAsia" w:ascii="宋体" w:hAnsi="宋体"/>
          <w:szCs w:val="24"/>
        </w:rPr>
        <w:t>重要脏器功能衰竭：肝功能衰竭、肝硬化失代偿期、肾功能不全（肌酐＞442μmol/L）等；</w:t>
      </w:r>
    </w:p>
    <w:p w14:paraId="14744ADB">
      <w:pPr>
        <w:tabs>
          <w:tab w:val="left" w:pos="208"/>
        </w:tabs>
        <w:spacing w:line="360" w:lineRule="auto"/>
        <w:ind w:firstLine="420" w:firstLineChars="200"/>
        <w:jc w:val="left"/>
        <w:rPr>
          <w:rFonts w:hint="eastAsia" w:ascii="宋体" w:hAnsi="宋体"/>
          <w:szCs w:val="24"/>
        </w:rPr>
      </w:pPr>
      <w:r>
        <w:rPr>
          <w:rFonts w:hint="eastAsia" w:ascii="宋体" w:hAnsi="宋体"/>
          <w:szCs w:val="24"/>
        </w:rPr>
        <w:t>其他妨碍履行养老服务职责的疾病或生理缺陷。</w:t>
      </w:r>
    </w:p>
    <w:p w14:paraId="4C685E58">
      <w:pPr>
        <w:tabs>
          <w:tab w:val="left" w:pos="208"/>
        </w:tabs>
        <w:spacing w:line="360" w:lineRule="auto"/>
        <w:ind w:firstLine="420" w:firstLineChars="200"/>
        <w:jc w:val="left"/>
        <w:rPr>
          <w:rFonts w:hint="eastAsia" w:ascii="宋体" w:hAnsi="宋体"/>
          <w:szCs w:val="24"/>
        </w:rPr>
      </w:pPr>
      <w:r>
        <w:rPr>
          <w:rFonts w:hint="eastAsia" w:ascii="宋体" w:hAnsi="宋体"/>
          <w:szCs w:val="24"/>
        </w:rPr>
        <w:t>2.4 人员审查要求：乙方须对服务团队成员进行审查，确保其无犯罪记录、并留存审查证明材料备查。</w:t>
      </w:r>
    </w:p>
    <w:p w14:paraId="5AF824F1">
      <w:pPr>
        <w:tabs>
          <w:tab w:val="left" w:pos="208"/>
        </w:tabs>
        <w:spacing w:line="360" w:lineRule="auto"/>
        <w:ind w:firstLine="420" w:firstLineChars="200"/>
        <w:jc w:val="left"/>
        <w:rPr>
          <w:rFonts w:hint="eastAsia" w:ascii="宋体" w:hAnsi="宋体"/>
          <w:szCs w:val="24"/>
        </w:rPr>
      </w:pPr>
      <w:r>
        <w:rPr>
          <w:rFonts w:hint="eastAsia" w:ascii="宋体" w:hAnsi="宋体"/>
          <w:szCs w:val="24"/>
        </w:rPr>
        <w:t>2.5 职业规范要求：服务期间，所有成员按岗位要求统一着装（服装整洁规范、符合养老服务场景），言行文明礼貌、恪守职业操守，维护服务秩序与单位形象。</w:t>
      </w:r>
    </w:p>
    <w:p w14:paraId="7CAE1C9F">
      <w:pPr>
        <w:tabs>
          <w:tab w:val="left" w:pos="208"/>
        </w:tabs>
        <w:spacing w:line="360" w:lineRule="auto"/>
        <w:ind w:firstLine="420" w:firstLineChars="200"/>
        <w:jc w:val="left"/>
        <w:rPr>
          <w:rFonts w:hint="eastAsia" w:ascii="宋体" w:hAnsi="宋体"/>
          <w:szCs w:val="24"/>
        </w:rPr>
      </w:pPr>
      <w:r>
        <w:rPr>
          <w:rFonts w:hint="eastAsia" w:ascii="宋体" w:hAnsi="宋体"/>
          <w:szCs w:val="24"/>
        </w:rPr>
        <w:t>2.6 薪资保障要求：为保持护理队伍稳定，乙方须保障人员薪资待遇体系的延续性，现场勘察时应当了解目前项目薪资福利体系。</w:t>
      </w:r>
    </w:p>
    <w:p w14:paraId="3E8CEF41">
      <w:pPr>
        <w:tabs>
          <w:tab w:val="left" w:pos="208"/>
        </w:tabs>
        <w:spacing w:line="360" w:lineRule="auto"/>
        <w:ind w:firstLine="420" w:firstLineChars="200"/>
        <w:jc w:val="left"/>
        <w:rPr>
          <w:rFonts w:hint="eastAsia" w:ascii="宋体" w:hAnsi="宋体"/>
          <w:szCs w:val="24"/>
        </w:rPr>
      </w:pPr>
      <w:r>
        <w:rPr>
          <w:rFonts w:hint="eastAsia" w:ascii="宋体" w:hAnsi="宋体"/>
          <w:szCs w:val="24"/>
        </w:rPr>
        <w:t>（三）服务质量考核标准（见附件1）</w:t>
      </w:r>
    </w:p>
    <w:p w14:paraId="3FC3753E">
      <w:pPr>
        <w:tabs>
          <w:tab w:val="left" w:pos="208"/>
        </w:tabs>
        <w:spacing w:line="360" w:lineRule="auto"/>
        <w:ind w:firstLine="420" w:firstLineChars="200"/>
        <w:jc w:val="left"/>
        <w:rPr>
          <w:rFonts w:hint="eastAsia" w:ascii="宋体" w:hAnsi="宋体"/>
          <w:szCs w:val="24"/>
        </w:rPr>
      </w:pPr>
      <w:r>
        <w:rPr>
          <w:rFonts w:hint="eastAsia" w:ascii="宋体" w:hAnsi="宋体"/>
          <w:szCs w:val="24"/>
        </w:rPr>
        <w:t>1.服务态度考核</w:t>
      </w:r>
    </w:p>
    <w:p w14:paraId="4875A330">
      <w:pPr>
        <w:tabs>
          <w:tab w:val="left" w:pos="208"/>
        </w:tabs>
        <w:spacing w:line="360" w:lineRule="auto"/>
        <w:ind w:firstLine="420"/>
        <w:jc w:val="left"/>
        <w:rPr>
          <w:rFonts w:hint="eastAsia" w:ascii="宋体" w:hAnsi="宋体"/>
          <w:szCs w:val="24"/>
        </w:rPr>
      </w:pPr>
      <w:r>
        <w:rPr>
          <w:rFonts w:hint="eastAsia" w:ascii="宋体" w:hAnsi="宋体"/>
          <w:szCs w:val="24"/>
        </w:rPr>
        <w:t xml:space="preserve">   核心要求：尊重长者、语言文明、举止端庄、技能专业娴熟、服务热情周到，与同事和谐相处。</w:t>
      </w:r>
    </w:p>
    <w:p w14:paraId="64025635">
      <w:pPr>
        <w:tabs>
          <w:tab w:val="left" w:pos="208"/>
        </w:tabs>
        <w:spacing w:line="360" w:lineRule="auto"/>
        <w:ind w:firstLine="420" w:firstLineChars="200"/>
        <w:jc w:val="left"/>
        <w:rPr>
          <w:rFonts w:hint="eastAsia" w:ascii="宋体" w:hAnsi="宋体"/>
          <w:szCs w:val="24"/>
        </w:rPr>
      </w:pPr>
      <w:r>
        <w:rPr>
          <w:rFonts w:hint="eastAsia" w:ascii="宋体" w:hAnsi="宋体"/>
          <w:szCs w:val="24"/>
        </w:rPr>
        <w:t>1.1工作人员在院区室内吸烟，每例扣除当月合同款 500 元；</w:t>
      </w:r>
    </w:p>
    <w:p w14:paraId="48B20D10">
      <w:pPr>
        <w:tabs>
          <w:tab w:val="left" w:pos="208"/>
        </w:tabs>
        <w:spacing w:line="360" w:lineRule="auto"/>
        <w:ind w:firstLine="420" w:firstLineChars="200"/>
        <w:jc w:val="left"/>
        <w:rPr>
          <w:rFonts w:hint="eastAsia" w:ascii="宋体" w:hAnsi="宋体"/>
          <w:szCs w:val="24"/>
        </w:rPr>
      </w:pPr>
      <w:r>
        <w:rPr>
          <w:rFonts w:hint="eastAsia" w:ascii="宋体" w:hAnsi="宋体"/>
          <w:szCs w:val="24"/>
        </w:rPr>
        <w:t>1.2克扣长者物资、吃拿长者财物的，须全额归还财物或等价金额，并处500-2000元/例罚款（情节轻微扣500元，情节一般扣1000元，情节严重扣2000元）；</w:t>
      </w:r>
    </w:p>
    <w:p w14:paraId="71AC0889">
      <w:pPr>
        <w:tabs>
          <w:tab w:val="left" w:pos="208"/>
        </w:tabs>
        <w:spacing w:line="360" w:lineRule="auto"/>
        <w:ind w:firstLine="420" w:firstLineChars="200"/>
        <w:jc w:val="left"/>
        <w:rPr>
          <w:rFonts w:hint="eastAsia" w:ascii="宋体" w:hAnsi="宋体"/>
          <w:szCs w:val="24"/>
        </w:rPr>
      </w:pPr>
      <w:r>
        <w:rPr>
          <w:rFonts w:hint="eastAsia" w:ascii="宋体" w:hAnsi="宋体"/>
          <w:szCs w:val="24"/>
        </w:rPr>
        <w:t>1.3辱骂、殴打长者的，一经查实，按情节轻重处2000-10000元 / 次罚款（辱骂扣2000-5000元，殴打扣5000-10000元），同时立即辞退肇事人员，承担相应法律责任。</w:t>
      </w:r>
    </w:p>
    <w:p w14:paraId="6FD054EC">
      <w:pPr>
        <w:tabs>
          <w:tab w:val="left" w:pos="208"/>
        </w:tabs>
        <w:spacing w:line="360" w:lineRule="auto"/>
        <w:ind w:firstLine="420" w:firstLineChars="200"/>
        <w:jc w:val="left"/>
        <w:rPr>
          <w:rFonts w:hint="eastAsia" w:ascii="宋体" w:hAnsi="宋体"/>
          <w:szCs w:val="24"/>
        </w:rPr>
      </w:pPr>
      <w:r>
        <w:rPr>
          <w:rFonts w:hint="eastAsia" w:ascii="宋体" w:hAnsi="宋体"/>
          <w:szCs w:val="24"/>
        </w:rPr>
        <w:t>2.服务满意率考核：</w:t>
      </w:r>
    </w:p>
    <w:p w14:paraId="2656C3F8">
      <w:pPr>
        <w:tabs>
          <w:tab w:val="left" w:pos="208"/>
        </w:tabs>
        <w:spacing w:line="360" w:lineRule="auto"/>
        <w:ind w:firstLine="420" w:firstLineChars="200"/>
        <w:jc w:val="left"/>
        <w:rPr>
          <w:rFonts w:hint="eastAsia" w:ascii="宋体" w:hAnsi="宋体"/>
          <w:szCs w:val="24"/>
        </w:rPr>
      </w:pPr>
      <w:r>
        <w:rPr>
          <w:rFonts w:hint="eastAsia" w:ascii="宋体" w:hAnsi="宋体"/>
          <w:szCs w:val="24"/>
        </w:rPr>
        <w:t>甲方定期组织长者及家属满意度测评，服务满意率须达到90%及以上；若未达标，每低1个百分点扣除当月合同款1000元，连续两次满意度未达标的，甲方有权要求整改或解除合同，乙方单月服务对象的满意率低于80%（以甲方调查为准），或者连续3月服务对象的满意率不足80%，甲方可随时解除合同。</w:t>
      </w:r>
    </w:p>
    <w:p w14:paraId="69A8B9AA">
      <w:pPr>
        <w:tabs>
          <w:tab w:val="left" w:pos="208"/>
        </w:tabs>
        <w:spacing w:line="360" w:lineRule="auto"/>
        <w:ind w:firstLine="420" w:firstLineChars="200"/>
        <w:jc w:val="left"/>
        <w:rPr>
          <w:rFonts w:hint="eastAsia" w:ascii="宋体" w:hAnsi="宋体"/>
          <w:szCs w:val="24"/>
        </w:rPr>
      </w:pPr>
      <w:r>
        <w:rPr>
          <w:rFonts w:hint="eastAsia" w:ascii="宋体" w:hAnsi="宋体"/>
          <w:szCs w:val="24"/>
        </w:rPr>
        <w:t>3.护理安全考核</w:t>
      </w:r>
    </w:p>
    <w:p w14:paraId="08E78DEC">
      <w:pPr>
        <w:tabs>
          <w:tab w:val="left" w:pos="208"/>
        </w:tabs>
        <w:spacing w:line="360" w:lineRule="auto"/>
        <w:ind w:firstLine="420" w:firstLineChars="200"/>
        <w:jc w:val="left"/>
        <w:rPr>
          <w:rFonts w:hint="eastAsia" w:ascii="宋体" w:hAnsi="宋体"/>
          <w:szCs w:val="24"/>
        </w:rPr>
      </w:pPr>
      <w:r>
        <w:rPr>
          <w:rFonts w:hint="eastAsia" w:ascii="宋体" w:hAnsi="宋体"/>
          <w:szCs w:val="24"/>
        </w:rPr>
        <w:t>3.1 责任界定：因乙方服务不到位、操作差错导致长者发生意外事件或纠纷索赔的，由乙方承担全部责任及相关费用（养老机构责任险涵盖赔偿部分除外），甲方不承担任何连带责任。无法界定责任的，双方按照责任比例承担法律责任，乙方承担70%，甲方承担30%。乙方护理员发生人身伤害、财产损失、工伤，由乙方承担法律责任和经济赔偿，甲方不承担责任。乙方应及时处理护理员与康养人员的纠纷，不得由此对甲方产生影响。</w:t>
      </w:r>
    </w:p>
    <w:p w14:paraId="363C3E13">
      <w:pPr>
        <w:tabs>
          <w:tab w:val="left" w:pos="208"/>
        </w:tabs>
        <w:spacing w:line="360" w:lineRule="auto"/>
        <w:ind w:firstLine="420" w:firstLineChars="200"/>
        <w:jc w:val="left"/>
        <w:rPr>
          <w:rFonts w:hint="eastAsia" w:ascii="宋体" w:hAnsi="宋体"/>
          <w:szCs w:val="24"/>
        </w:rPr>
      </w:pPr>
      <w:r>
        <w:rPr>
          <w:rFonts w:hint="eastAsia" w:ascii="宋体" w:hAnsi="宋体"/>
          <w:szCs w:val="24"/>
        </w:rPr>
        <w:t>3.2 处罚条款：</w:t>
      </w:r>
    </w:p>
    <w:p w14:paraId="4026203D">
      <w:pPr>
        <w:tabs>
          <w:tab w:val="left" w:pos="208"/>
        </w:tabs>
        <w:spacing w:line="360" w:lineRule="auto"/>
        <w:ind w:firstLine="420" w:firstLineChars="200"/>
        <w:jc w:val="left"/>
        <w:rPr>
          <w:rFonts w:hint="eastAsia" w:ascii="宋体" w:hAnsi="宋体"/>
          <w:szCs w:val="24"/>
        </w:rPr>
      </w:pPr>
      <w:r>
        <w:rPr>
          <w:rFonts w:hint="eastAsia" w:ascii="宋体" w:hAnsi="宋体"/>
          <w:szCs w:val="24"/>
        </w:rPr>
        <w:t>因护理不当导致长者食物误食的，乙方承担全部医疗费及赔偿责任，并每例扣除当月项目管理费1000-5000元/例罚款（轻微误食扣1000-2000元，造成健康影响扣2000-5000元）。</w:t>
      </w:r>
    </w:p>
    <w:p w14:paraId="11AFACFD">
      <w:pPr>
        <w:tabs>
          <w:tab w:val="left" w:pos="208"/>
        </w:tabs>
        <w:spacing w:line="360" w:lineRule="auto"/>
        <w:ind w:firstLine="420" w:firstLineChars="200"/>
        <w:jc w:val="left"/>
        <w:rPr>
          <w:rFonts w:hint="eastAsia" w:ascii="宋体" w:hAnsi="宋体"/>
          <w:szCs w:val="24"/>
        </w:rPr>
      </w:pPr>
      <w:r>
        <w:rPr>
          <w:rFonts w:hint="eastAsia" w:ascii="宋体" w:hAnsi="宋体"/>
          <w:szCs w:val="24"/>
        </w:rPr>
        <w:t>因护理不当导致长者烫伤、冻伤、损伤、坠床、跌倒、噎食、走失等，造成轻微后果的每例扣除当月项目管理费1000-3000元/例，造成一般后果的扣3000-6000元/例，造成严重后果的扣6000-10000元/例；</w:t>
      </w:r>
    </w:p>
    <w:p w14:paraId="1B8C1DCF">
      <w:pPr>
        <w:tabs>
          <w:tab w:val="left" w:pos="208"/>
        </w:tabs>
        <w:spacing w:line="360" w:lineRule="auto"/>
        <w:ind w:firstLine="420" w:firstLineChars="200"/>
        <w:jc w:val="left"/>
        <w:rPr>
          <w:rFonts w:hint="eastAsia" w:ascii="宋体" w:hAnsi="宋体"/>
          <w:szCs w:val="24"/>
        </w:rPr>
      </w:pPr>
      <w:r>
        <w:rPr>
          <w:rFonts w:hint="eastAsia" w:ascii="宋体" w:hAnsi="宋体"/>
          <w:szCs w:val="24"/>
          <w:highlight w:val="none"/>
        </w:rPr>
        <w:t>因护理员的原因导致发</w:t>
      </w:r>
      <w:r>
        <w:rPr>
          <w:rFonts w:hint="eastAsia" w:ascii="宋体" w:hAnsi="宋体"/>
          <w:szCs w:val="24"/>
        </w:rPr>
        <w:t>生重大安全责任事故（如长者重伤、死亡等），重伤的每例扣除当月项目管理费 5000-20000 元，死亡的乙方承担全部赔偿责任。</w:t>
      </w:r>
    </w:p>
    <w:p w14:paraId="69605501">
      <w:pPr>
        <w:tabs>
          <w:tab w:val="left" w:pos="208"/>
        </w:tabs>
        <w:spacing w:line="360" w:lineRule="auto"/>
        <w:jc w:val="left"/>
        <w:rPr>
          <w:rFonts w:hint="eastAsia" w:ascii="宋体" w:hAnsi="宋体"/>
          <w:szCs w:val="24"/>
        </w:rPr>
      </w:pPr>
      <w:r>
        <w:rPr>
          <w:rFonts w:hint="eastAsia" w:ascii="宋体" w:hAnsi="宋体"/>
          <w:szCs w:val="24"/>
        </w:rPr>
        <w:t>3.3 考核实施方式</w:t>
      </w:r>
    </w:p>
    <w:p w14:paraId="2FA9FA28">
      <w:pPr>
        <w:tabs>
          <w:tab w:val="left" w:pos="208"/>
        </w:tabs>
        <w:spacing w:line="360" w:lineRule="auto"/>
        <w:jc w:val="left"/>
        <w:rPr>
          <w:rFonts w:hint="eastAsia" w:ascii="宋体" w:hAnsi="宋体"/>
          <w:szCs w:val="24"/>
        </w:rPr>
      </w:pPr>
      <w:r>
        <w:rPr>
          <w:rFonts w:hint="eastAsia" w:ascii="宋体" w:hAnsi="宋体"/>
          <w:szCs w:val="24"/>
        </w:rPr>
        <w:t>考核权重：每月定期检查结果占当月考核总分的40%，日常不定期抽查结果占60%；</w:t>
      </w:r>
    </w:p>
    <w:p w14:paraId="26EE8E80">
      <w:pPr>
        <w:tabs>
          <w:tab w:val="left" w:pos="208"/>
        </w:tabs>
        <w:spacing w:line="360" w:lineRule="auto"/>
        <w:jc w:val="left"/>
        <w:rPr>
          <w:rFonts w:hint="eastAsia" w:ascii="宋体" w:hAnsi="宋体"/>
          <w:szCs w:val="24"/>
        </w:rPr>
      </w:pPr>
      <w:r>
        <w:rPr>
          <w:rFonts w:hint="eastAsia" w:ascii="宋体" w:hAnsi="宋体"/>
          <w:szCs w:val="24"/>
        </w:rPr>
        <w:t>4、责任与保障条款</w:t>
      </w:r>
    </w:p>
    <w:p w14:paraId="28DD804B">
      <w:pPr>
        <w:tabs>
          <w:tab w:val="left" w:pos="208"/>
        </w:tabs>
        <w:spacing w:line="360" w:lineRule="auto"/>
        <w:jc w:val="left"/>
        <w:rPr>
          <w:rFonts w:hint="eastAsia" w:ascii="宋体" w:hAnsi="宋体"/>
          <w:szCs w:val="24"/>
        </w:rPr>
      </w:pPr>
      <w:r>
        <w:rPr>
          <w:rFonts w:hint="eastAsia" w:ascii="宋体" w:hAnsi="宋体"/>
          <w:szCs w:val="24"/>
        </w:rPr>
        <w:t>4.1 员工人身意外责任：项目服务期内，乙方工作人员发生人身意外、工伤等事故，由乙方承担全部责任及相关费用，甲方不承担任何赔偿或连带责任。</w:t>
      </w:r>
    </w:p>
    <w:p w14:paraId="548F9523">
      <w:pPr>
        <w:tabs>
          <w:tab w:val="left" w:pos="208"/>
        </w:tabs>
        <w:spacing w:line="360" w:lineRule="auto"/>
        <w:jc w:val="left"/>
        <w:rPr>
          <w:rFonts w:hint="eastAsia" w:ascii="宋体" w:hAnsi="宋体"/>
          <w:szCs w:val="24"/>
          <w:highlight w:val="none"/>
        </w:rPr>
      </w:pPr>
      <w:r>
        <w:rPr>
          <w:rFonts w:hint="eastAsia" w:ascii="宋体" w:hAnsi="宋体"/>
          <w:szCs w:val="24"/>
        </w:rPr>
        <w:t>4.2 社会保险责任：</w:t>
      </w:r>
      <w:r>
        <w:rPr>
          <w:rFonts w:hint="eastAsia" w:ascii="宋体" w:hAnsi="宋体"/>
          <w:szCs w:val="24"/>
          <w:highlight w:val="none"/>
        </w:rPr>
        <w:t>乙方须严格按照《中华人民共和国劳动合同法》及政府相关规定，为全体服务人员缴纳社会保险及其他法定费用，确保用工合规，承担全部相关责任。</w:t>
      </w:r>
    </w:p>
    <w:p w14:paraId="23593C07">
      <w:pPr>
        <w:spacing w:line="360" w:lineRule="auto"/>
        <w:ind w:firstLine="420" w:firstLineChars="200"/>
        <w:rPr>
          <w:rFonts w:ascii="宋体" w:hAnsi="宋体"/>
          <w:szCs w:val="24"/>
        </w:rPr>
      </w:pPr>
      <w:r>
        <w:rPr>
          <w:rFonts w:hint="eastAsia" w:ascii="宋体" w:hAnsi="宋体"/>
          <w:szCs w:val="24"/>
        </w:rPr>
        <w:t>三、人员岗位资格和工作要求</w:t>
      </w:r>
    </w:p>
    <w:p w14:paraId="3160A9FE">
      <w:pPr>
        <w:spacing w:line="360" w:lineRule="auto"/>
        <w:ind w:firstLine="420" w:firstLineChars="200"/>
        <w:rPr>
          <w:rFonts w:ascii="宋体" w:hAnsi="宋体"/>
          <w:szCs w:val="24"/>
        </w:rPr>
      </w:pPr>
      <w:r>
        <w:rPr>
          <w:rFonts w:hint="eastAsia" w:ascii="宋体" w:hAnsi="宋体"/>
          <w:szCs w:val="24"/>
        </w:rPr>
        <w:t>（一）人员岗位资格要求</w:t>
      </w:r>
    </w:p>
    <w:p w14:paraId="2A79008E">
      <w:pPr>
        <w:spacing w:line="360" w:lineRule="auto"/>
        <w:ind w:firstLine="420" w:firstLineChars="200"/>
        <w:rPr>
          <w:rFonts w:hint="eastAsia" w:ascii="宋体" w:hAnsi="宋体"/>
          <w:szCs w:val="24"/>
        </w:rPr>
      </w:pPr>
      <w:r>
        <w:rPr>
          <w:rFonts w:ascii="宋体" w:hAnsi="宋体"/>
          <w:szCs w:val="24"/>
        </w:rPr>
        <w:t>1.</w:t>
      </w:r>
      <w:r>
        <w:rPr>
          <w:rFonts w:hint="eastAsia" w:ascii="宋体" w:hAnsi="宋体"/>
          <w:szCs w:val="24"/>
        </w:rPr>
        <w:t>项目主管：大专及以上学历，具备以下任一相关专业背景：医疗、护理、康复类；教育、心理类；老年服务与管理、社会工作类；同时具有高级养老护理员或护理学初级及以上职称，且具有3年以上养老机构管理经验的，年龄 45周岁及以下；有很强的组织领导管理能力；有很强的突发事件应急处理能力、沟通协调能力和业务指导能力；有业务拓展，外联业务能力。</w:t>
      </w:r>
    </w:p>
    <w:p w14:paraId="40C2A211">
      <w:pPr>
        <w:spacing w:line="360" w:lineRule="auto"/>
        <w:ind w:firstLine="420" w:firstLineChars="200"/>
        <w:rPr>
          <w:rFonts w:hint="eastAsia" w:ascii="宋体" w:hAnsi="宋体" w:eastAsia="宋体"/>
          <w:szCs w:val="24"/>
          <w:lang w:eastAsia="zh-CN"/>
        </w:rPr>
      </w:pPr>
      <w:r>
        <w:rPr>
          <w:rFonts w:ascii="宋体" w:hAnsi="宋体"/>
          <w:szCs w:val="24"/>
        </w:rPr>
        <w:t>2.</w:t>
      </w:r>
      <w:r>
        <w:rPr>
          <w:rFonts w:hint="eastAsia" w:ascii="宋体" w:hAnsi="宋体"/>
          <w:szCs w:val="24"/>
        </w:rPr>
        <w:t>养老护理员：新入职养老护理员须经岗前培训合格后方可上岗</w:t>
      </w:r>
      <w:r>
        <w:rPr>
          <w:rFonts w:hint="eastAsia" w:ascii="宋体" w:hAnsi="宋体"/>
          <w:szCs w:val="24"/>
          <w:lang w:eastAsia="zh-CN"/>
        </w:rPr>
        <w:t>。</w:t>
      </w:r>
    </w:p>
    <w:p w14:paraId="6018F654">
      <w:pPr>
        <w:spacing w:line="360" w:lineRule="auto"/>
        <w:ind w:firstLine="420" w:firstLineChars="200"/>
        <w:rPr>
          <w:rFonts w:hint="eastAsia" w:ascii="宋体" w:hAnsi="宋体"/>
          <w:szCs w:val="24"/>
        </w:rPr>
      </w:pPr>
      <w:r>
        <w:rPr>
          <w:rFonts w:ascii="宋体" w:hAnsi="宋体"/>
          <w:szCs w:val="24"/>
        </w:rPr>
        <w:t>3.</w:t>
      </w:r>
      <w:r>
        <w:rPr>
          <w:rFonts w:hint="eastAsia" w:ascii="宋体" w:hAnsi="宋体"/>
          <w:szCs w:val="24"/>
        </w:rPr>
        <w:t>项目团队养老护理员职业技能等级证书持证率须达到95%以上，甲方每月考核持证率，新入职护理员在入职后1个月内需持证，每少1人扣除当月合同款500元。</w:t>
      </w:r>
    </w:p>
    <w:p w14:paraId="1EED2561">
      <w:pPr>
        <w:spacing w:line="360" w:lineRule="auto"/>
        <w:ind w:firstLine="420" w:firstLineChars="200"/>
        <w:rPr>
          <w:rFonts w:ascii="宋体" w:hAnsi="宋体"/>
          <w:szCs w:val="24"/>
        </w:rPr>
      </w:pPr>
      <w:r>
        <w:rPr>
          <w:rFonts w:hint="eastAsia" w:ascii="宋体" w:hAnsi="宋体"/>
          <w:szCs w:val="24"/>
        </w:rPr>
        <w:t>（二）年龄要求</w:t>
      </w:r>
    </w:p>
    <w:p w14:paraId="70457627">
      <w:pPr>
        <w:spacing w:line="360" w:lineRule="auto"/>
        <w:ind w:firstLine="420" w:firstLineChars="200"/>
        <w:rPr>
          <w:rFonts w:hint="eastAsia" w:ascii="宋体" w:hAnsi="宋体" w:eastAsia="宋体"/>
          <w:szCs w:val="24"/>
          <w:lang w:eastAsia="zh-CN"/>
        </w:rPr>
      </w:pPr>
      <w:r>
        <w:rPr>
          <w:rFonts w:hint="eastAsia" w:ascii="宋体" w:hAnsi="宋体"/>
          <w:szCs w:val="24"/>
        </w:rPr>
        <w:t>原则上要求项目新入职人员女性年龄小于5</w:t>
      </w:r>
      <w:r>
        <w:rPr>
          <w:rFonts w:hint="eastAsia" w:ascii="宋体" w:hAnsi="宋体"/>
          <w:szCs w:val="24"/>
          <w:lang w:val="en-US" w:eastAsia="zh-CN"/>
        </w:rPr>
        <w:t>6</w:t>
      </w:r>
      <w:r>
        <w:rPr>
          <w:rFonts w:hint="eastAsia" w:ascii="宋体" w:hAnsi="宋体"/>
          <w:szCs w:val="24"/>
        </w:rPr>
        <w:t>周岁，男性小于60周岁，</w:t>
      </w:r>
      <w:r>
        <w:rPr>
          <w:rFonts w:hint="eastAsia" w:ascii="宋体" w:hAnsi="宋体"/>
          <w:szCs w:val="24"/>
          <w:highlight w:val="none"/>
        </w:rPr>
        <w:t>经验丰富可适当放宽年龄要求，</w:t>
      </w:r>
      <w:r>
        <w:rPr>
          <w:rFonts w:hint="eastAsia" w:ascii="宋体" w:hAnsi="宋体"/>
          <w:szCs w:val="24"/>
        </w:rPr>
        <w:t>整个项目团队平均年龄原则上不能超过</w:t>
      </w:r>
      <w:r>
        <w:rPr>
          <w:rFonts w:ascii="宋体" w:hAnsi="宋体"/>
          <w:szCs w:val="24"/>
        </w:rPr>
        <w:t>5</w:t>
      </w:r>
      <w:r>
        <w:rPr>
          <w:rFonts w:hint="eastAsia" w:ascii="宋体" w:hAnsi="宋体"/>
          <w:szCs w:val="24"/>
          <w:lang w:val="en-US" w:eastAsia="zh-CN"/>
        </w:rPr>
        <w:t>7</w:t>
      </w:r>
      <w:r>
        <w:rPr>
          <w:rFonts w:hint="eastAsia" w:ascii="宋体" w:hAnsi="宋体"/>
          <w:szCs w:val="24"/>
        </w:rPr>
        <w:t>岁</w:t>
      </w:r>
      <w:r>
        <w:rPr>
          <w:rFonts w:hint="eastAsia" w:ascii="宋体" w:hAnsi="宋体"/>
          <w:szCs w:val="24"/>
          <w:lang w:eastAsia="zh-CN"/>
        </w:rPr>
        <w:t>。</w:t>
      </w:r>
    </w:p>
    <w:p w14:paraId="7B0A0283">
      <w:pPr>
        <w:spacing w:line="360" w:lineRule="auto"/>
        <w:ind w:firstLine="420" w:firstLineChars="200"/>
        <w:rPr>
          <w:rFonts w:ascii="宋体" w:hAnsi="宋体"/>
          <w:szCs w:val="24"/>
        </w:rPr>
      </w:pPr>
      <w:r>
        <w:rPr>
          <w:rFonts w:hint="eastAsia" w:ascii="宋体" w:hAnsi="宋体"/>
          <w:szCs w:val="24"/>
        </w:rPr>
        <w:t>（三）项目主管岗位工作要求</w:t>
      </w:r>
    </w:p>
    <w:p w14:paraId="4A0F660F">
      <w:pPr>
        <w:spacing w:line="360" w:lineRule="auto"/>
        <w:ind w:firstLine="420" w:firstLineChars="200"/>
        <w:rPr>
          <w:rFonts w:ascii="宋体" w:hAnsi="宋体"/>
          <w:szCs w:val="24"/>
        </w:rPr>
      </w:pPr>
      <w:r>
        <w:rPr>
          <w:rFonts w:hint="eastAsia" w:ascii="宋体" w:hAnsi="宋体"/>
          <w:szCs w:val="24"/>
        </w:rPr>
        <w:t>1、项目主管工作要求</w:t>
      </w:r>
    </w:p>
    <w:p w14:paraId="4BCB1AB3">
      <w:pPr>
        <w:spacing w:line="360" w:lineRule="auto"/>
        <w:ind w:firstLine="420" w:firstLineChars="200"/>
        <w:rPr>
          <w:rFonts w:ascii="宋体" w:hAnsi="宋体"/>
          <w:szCs w:val="24"/>
        </w:rPr>
      </w:pPr>
      <w:r>
        <w:rPr>
          <w:rFonts w:hint="eastAsia" w:ascii="宋体" w:hAnsi="宋体"/>
          <w:szCs w:val="24"/>
        </w:rPr>
        <w:t>2、在甲方的指导下，负责护理项目的日常管理与运行。</w:t>
      </w:r>
    </w:p>
    <w:p w14:paraId="49CC2948">
      <w:pPr>
        <w:spacing w:line="360" w:lineRule="auto"/>
        <w:ind w:firstLine="420" w:firstLineChars="200"/>
        <w:rPr>
          <w:rFonts w:ascii="宋体" w:hAnsi="宋体"/>
          <w:szCs w:val="24"/>
        </w:rPr>
      </w:pPr>
      <w:r>
        <w:rPr>
          <w:rFonts w:hint="eastAsia" w:ascii="宋体" w:hAnsi="宋体"/>
          <w:szCs w:val="24"/>
        </w:rPr>
        <w:t>3、负责项目统筹协调，制定项目服务计划并组织实施，定期检查回顾，按时总结汇报。</w:t>
      </w:r>
    </w:p>
    <w:p w14:paraId="38588A58">
      <w:pPr>
        <w:spacing w:line="360" w:lineRule="auto"/>
        <w:ind w:firstLine="420" w:firstLineChars="200"/>
        <w:rPr>
          <w:rFonts w:ascii="宋体" w:hAnsi="宋体"/>
          <w:szCs w:val="24"/>
        </w:rPr>
      </w:pPr>
      <w:r>
        <w:rPr>
          <w:rFonts w:hint="eastAsia" w:ascii="宋体" w:hAnsi="宋体"/>
          <w:szCs w:val="24"/>
        </w:rPr>
        <w:t>4、负责项目人事管理，统筹做好人员招聘、分工、考核等，根据工作量合理分配护理人力资源。</w:t>
      </w:r>
    </w:p>
    <w:p w14:paraId="37C02DFB">
      <w:pPr>
        <w:spacing w:line="360" w:lineRule="auto"/>
        <w:ind w:firstLine="420" w:firstLineChars="200"/>
        <w:rPr>
          <w:rFonts w:ascii="宋体" w:hAnsi="宋体"/>
          <w:szCs w:val="24"/>
        </w:rPr>
      </w:pPr>
      <w:r>
        <w:rPr>
          <w:rFonts w:hint="eastAsia" w:ascii="宋体" w:hAnsi="宋体"/>
          <w:szCs w:val="24"/>
        </w:rPr>
        <w:t>5、负责项目安全管理，建立健全应急预案，严防护理差错事故，严格履行护理安全事件与隐患缺陷报告制度。</w:t>
      </w:r>
    </w:p>
    <w:p w14:paraId="62B0D21E">
      <w:pPr>
        <w:spacing w:line="360" w:lineRule="auto"/>
        <w:ind w:firstLine="420" w:firstLineChars="200"/>
        <w:rPr>
          <w:rFonts w:ascii="宋体" w:hAnsi="宋体"/>
          <w:szCs w:val="24"/>
        </w:rPr>
      </w:pPr>
      <w:r>
        <w:rPr>
          <w:rFonts w:hint="eastAsia" w:ascii="宋体" w:hAnsi="宋体"/>
          <w:szCs w:val="24"/>
        </w:rPr>
        <w:t>6、负责项目质量管理，建立、实施并保持质量管理体系，指导并参与特殊长者护理，保持护理质量持续改进。</w:t>
      </w:r>
    </w:p>
    <w:p w14:paraId="3479C43B">
      <w:pPr>
        <w:spacing w:line="360" w:lineRule="auto"/>
        <w:ind w:firstLine="420" w:firstLineChars="200"/>
        <w:rPr>
          <w:rFonts w:ascii="宋体" w:hAnsi="宋体"/>
          <w:szCs w:val="24"/>
        </w:rPr>
      </w:pPr>
      <w:r>
        <w:rPr>
          <w:rFonts w:hint="eastAsia" w:ascii="宋体" w:hAnsi="宋体"/>
          <w:szCs w:val="24"/>
        </w:rPr>
        <w:t>7、负责项目业务管理，建立护理查房制度，引导督促项目人员履职尽责，严格执行各项规章制度和技术操作规程。</w:t>
      </w:r>
    </w:p>
    <w:p w14:paraId="3E69E486">
      <w:pPr>
        <w:spacing w:line="360" w:lineRule="auto"/>
        <w:ind w:firstLine="420" w:firstLineChars="200"/>
        <w:rPr>
          <w:rFonts w:ascii="宋体" w:hAnsi="宋体"/>
          <w:szCs w:val="24"/>
        </w:rPr>
      </w:pPr>
      <w:r>
        <w:rPr>
          <w:rFonts w:hint="eastAsia" w:ascii="宋体" w:hAnsi="宋体"/>
          <w:szCs w:val="24"/>
        </w:rPr>
        <w:t>8、负责项目队伍建设，定期组织业务学习、开展技能训练与考核，促进护理团队成长。</w:t>
      </w:r>
    </w:p>
    <w:p w14:paraId="7F70C164">
      <w:pPr>
        <w:spacing w:line="360" w:lineRule="auto"/>
        <w:ind w:firstLine="420" w:firstLineChars="200"/>
        <w:rPr>
          <w:rFonts w:ascii="宋体" w:hAnsi="宋体"/>
          <w:szCs w:val="24"/>
        </w:rPr>
      </w:pPr>
      <w:r>
        <w:rPr>
          <w:rFonts w:hint="eastAsia" w:ascii="宋体" w:hAnsi="宋体"/>
          <w:szCs w:val="24"/>
        </w:rPr>
        <w:t>9、加强与甲方的协调配合，保质保量完成甲方交办的工作任务。</w:t>
      </w:r>
    </w:p>
    <w:p w14:paraId="23B81BEE">
      <w:pPr>
        <w:spacing w:line="360" w:lineRule="auto"/>
        <w:ind w:firstLine="420" w:firstLineChars="200"/>
        <w:rPr>
          <w:rFonts w:ascii="宋体" w:hAnsi="宋体"/>
          <w:szCs w:val="24"/>
        </w:rPr>
      </w:pPr>
      <w:r>
        <w:rPr>
          <w:rFonts w:hint="eastAsia" w:ascii="宋体" w:hAnsi="宋体"/>
          <w:szCs w:val="24"/>
        </w:rPr>
        <w:t>10、着装要求：投标人应为服务人员提供与岗位相匹配的工作服，包括春秋装、夏装、冬装。</w:t>
      </w:r>
    </w:p>
    <w:p w14:paraId="69144403">
      <w:pPr>
        <w:spacing w:line="360" w:lineRule="auto"/>
        <w:ind w:firstLine="420" w:firstLineChars="200"/>
        <w:rPr>
          <w:rFonts w:ascii="宋体" w:hAnsi="宋体"/>
          <w:szCs w:val="24"/>
        </w:rPr>
      </w:pPr>
      <w:r>
        <w:rPr>
          <w:rFonts w:ascii="宋体" w:hAnsi="宋体"/>
          <w:szCs w:val="24"/>
        </w:rPr>
        <w:t>11.</w:t>
      </w:r>
      <w:r>
        <w:rPr>
          <w:rFonts w:hint="eastAsia" w:ascii="宋体" w:hAnsi="宋体"/>
          <w:szCs w:val="24"/>
        </w:rPr>
        <w:t>护理员排班、轮休由乙方负责安排，甲方负责审核，护理员实行轮班制，原则上轮休时间不少于2天/月，轮休期间，项目主管要负责落实其他养老护理员，务必到岗到位，做到尽职尽责，严禁脱岗、串岗、耍手机、长时间接听电话等做与工作无关的事情，不得影响护养质量及安全，由此导致的一切后果由乙方承担。</w:t>
      </w:r>
    </w:p>
    <w:p w14:paraId="49821D07">
      <w:pPr>
        <w:spacing w:line="360" w:lineRule="auto"/>
        <w:ind w:firstLine="420" w:firstLineChars="200"/>
        <w:rPr>
          <w:rFonts w:ascii="宋体" w:hAnsi="宋体"/>
          <w:szCs w:val="24"/>
          <w:highlight w:val="none"/>
        </w:rPr>
      </w:pPr>
      <w:r>
        <w:rPr>
          <w:rFonts w:hint="eastAsia" w:ascii="宋体" w:hAnsi="宋体"/>
          <w:szCs w:val="24"/>
          <w:highlight w:val="none"/>
        </w:rPr>
        <w:t>（四）养老护理员工作要求</w:t>
      </w:r>
    </w:p>
    <w:p w14:paraId="1FA06BA3">
      <w:pPr>
        <w:spacing w:line="360" w:lineRule="auto"/>
        <w:ind w:firstLine="420" w:firstLineChars="200"/>
        <w:rPr>
          <w:rFonts w:ascii="宋体" w:hAnsi="宋体"/>
          <w:szCs w:val="24"/>
        </w:rPr>
      </w:pPr>
      <w:r>
        <w:rPr>
          <w:rFonts w:hint="eastAsia" w:ascii="宋体" w:hAnsi="宋体"/>
          <w:szCs w:val="24"/>
          <w:highlight w:val="none"/>
        </w:rPr>
        <w:t>1、</w:t>
      </w:r>
      <w:r>
        <w:rPr>
          <w:rFonts w:hint="eastAsia" w:ascii="宋体" w:hAnsi="宋体"/>
          <w:b w:val="0"/>
          <w:bCs w:val="0"/>
          <w:szCs w:val="24"/>
          <w:highlight w:val="none"/>
        </w:rPr>
        <w:t>在甲方领导下，乙方积极配合甲方领导进行工作</w:t>
      </w:r>
      <w:r>
        <w:rPr>
          <w:rFonts w:hint="eastAsia" w:ascii="宋体" w:hAnsi="宋体"/>
          <w:b w:val="0"/>
          <w:bCs w:val="0"/>
          <w:szCs w:val="24"/>
          <w:highlight w:val="none"/>
          <w:lang w:eastAsia="zh-CN"/>
        </w:rPr>
        <w:t>，</w:t>
      </w:r>
      <w:r>
        <w:rPr>
          <w:rFonts w:hint="eastAsia" w:ascii="宋体" w:hAnsi="宋体"/>
          <w:szCs w:val="24"/>
        </w:rPr>
        <w:t>负责长者居住楼栋（包括长者居室、公共活动区域和设备用房）清洁卫生和消毒服务、点餐送餐等服务，长者生活照料服务、文化娱乐服务、协助就医服务、护理文书书写等工作。</w:t>
      </w:r>
    </w:p>
    <w:p w14:paraId="684E1ABD">
      <w:pPr>
        <w:spacing w:line="360" w:lineRule="auto"/>
        <w:ind w:firstLine="420" w:firstLineChars="200"/>
        <w:rPr>
          <w:rFonts w:ascii="宋体" w:hAnsi="宋体"/>
          <w:szCs w:val="24"/>
        </w:rPr>
      </w:pPr>
      <w:r>
        <w:rPr>
          <w:rFonts w:hint="eastAsia" w:ascii="宋体" w:hAnsi="宋体"/>
          <w:szCs w:val="24"/>
        </w:rPr>
        <w:t>2、熟悉入住长者的生活、思想和健康状况，做到三关心（安全、情绪、作息）、六知道（房间床号、年龄性别、护理要点、疾病情况、级别护理、饮食爱好）；按照分级护理标准做好长者生活护理，发现异常及时干预并上报主管。</w:t>
      </w:r>
    </w:p>
    <w:p w14:paraId="1764AC4A">
      <w:pPr>
        <w:spacing w:line="360" w:lineRule="auto"/>
        <w:ind w:firstLine="420" w:firstLineChars="200"/>
        <w:rPr>
          <w:rFonts w:ascii="宋体" w:hAnsi="宋体"/>
          <w:szCs w:val="24"/>
        </w:rPr>
      </w:pPr>
      <w:r>
        <w:rPr>
          <w:rFonts w:hint="eastAsia" w:ascii="宋体" w:hAnsi="宋体"/>
          <w:szCs w:val="24"/>
        </w:rPr>
        <w:t>3、认真执行长者请假制度，按照要求做好请假在外长者的回访，有异常及时上报主管。</w:t>
      </w:r>
    </w:p>
    <w:p w14:paraId="0C324E61">
      <w:pPr>
        <w:spacing w:line="360" w:lineRule="auto"/>
        <w:ind w:firstLine="420" w:firstLineChars="200"/>
        <w:rPr>
          <w:rFonts w:ascii="宋体" w:hAnsi="宋体"/>
          <w:szCs w:val="24"/>
        </w:rPr>
      </w:pPr>
      <w:r>
        <w:rPr>
          <w:rFonts w:hint="eastAsia" w:ascii="宋体" w:hAnsi="宋体"/>
          <w:szCs w:val="24"/>
        </w:rPr>
        <w:t>4、自觉严格遵守护理程序和护理技术操作规程，规范服务。按照要求定时巡视长者居住房间和楼层，认真观察长者情况，发现异常及时报告、及时处理。杜绝差错事故发生。</w:t>
      </w:r>
    </w:p>
    <w:p w14:paraId="00F59B43">
      <w:pPr>
        <w:spacing w:line="360" w:lineRule="auto"/>
        <w:ind w:firstLine="420" w:firstLineChars="200"/>
        <w:rPr>
          <w:rFonts w:ascii="宋体" w:hAnsi="宋体"/>
          <w:szCs w:val="24"/>
        </w:rPr>
      </w:pPr>
      <w:r>
        <w:rPr>
          <w:rFonts w:hint="eastAsia" w:ascii="宋体" w:hAnsi="宋体"/>
          <w:szCs w:val="24"/>
        </w:rPr>
        <w:t>5、熟练掌握长者应急事件处理流程，事件发生时能正确处理，及时上报。</w:t>
      </w:r>
    </w:p>
    <w:p w14:paraId="6951F968">
      <w:pPr>
        <w:spacing w:line="360" w:lineRule="auto"/>
        <w:ind w:firstLine="420" w:firstLineChars="200"/>
        <w:rPr>
          <w:rFonts w:ascii="宋体" w:hAnsi="宋体"/>
          <w:szCs w:val="24"/>
        </w:rPr>
      </w:pPr>
      <w:r>
        <w:rPr>
          <w:rFonts w:hint="eastAsia" w:ascii="宋体" w:hAnsi="宋体"/>
          <w:szCs w:val="24"/>
        </w:rPr>
        <w:t>6、尊重、关心长者，语言文明、礼貌，举止端庄大方，热情周到服务，耐心协助解决心理问题，努力创造文明、健康、乐观、祥和的生活氛围。</w:t>
      </w:r>
    </w:p>
    <w:p w14:paraId="08DA0119">
      <w:pPr>
        <w:spacing w:line="360" w:lineRule="auto"/>
        <w:ind w:firstLine="420" w:firstLineChars="200"/>
        <w:rPr>
          <w:rFonts w:ascii="宋体" w:hAnsi="宋体"/>
          <w:szCs w:val="24"/>
        </w:rPr>
      </w:pPr>
      <w:r>
        <w:rPr>
          <w:rFonts w:hint="eastAsia" w:ascii="宋体" w:hAnsi="宋体"/>
          <w:szCs w:val="24"/>
        </w:rPr>
        <w:t>7、认真做好卫生保健、饮食指导、意外事件防范等知识宣教，引导长者养成良好的生活习惯及行为方式。</w:t>
      </w:r>
    </w:p>
    <w:p w14:paraId="2E68D3C1">
      <w:pPr>
        <w:spacing w:line="360" w:lineRule="auto"/>
        <w:ind w:firstLine="420" w:firstLineChars="200"/>
        <w:rPr>
          <w:rFonts w:ascii="宋体" w:hAnsi="宋体"/>
          <w:szCs w:val="24"/>
        </w:rPr>
      </w:pPr>
      <w:r>
        <w:rPr>
          <w:rFonts w:hint="eastAsia" w:ascii="宋体" w:hAnsi="宋体"/>
          <w:szCs w:val="24"/>
        </w:rPr>
        <w:t>8、做好人际管理，与同事和谐相处，协调长者拼房矛盾。</w:t>
      </w:r>
    </w:p>
    <w:p w14:paraId="06906B62">
      <w:pPr>
        <w:spacing w:line="360" w:lineRule="auto"/>
        <w:ind w:firstLine="420" w:firstLineChars="200"/>
        <w:rPr>
          <w:rFonts w:ascii="宋体" w:hAnsi="宋体"/>
          <w:szCs w:val="24"/>
        </w:rPr>
      </w:pPr>
      <w:r>
        <w:rPr>
          <w:rFonts w:hint="eastAsia" w:ascii="宋体" w:hAnsi="宋体"/>
          <w:szCs w:val="24"/>
        </w:rPr>
        <w:t>9、做好长者居住楼栋环境（含长者居室）的消毒清洁工作，保持生活环境的整洁、安静、安全、舒适。</w:t>
      </w:r>
    </w:p>
    <w:p w14:paraId="6D744107">
      <w:pPr>
        <w:spacing w:line="360" w:lineRule="auto"/>
        <w:ind w:firstLine="420" w:firstLineChars="200"/>
        <w:rPr>
          <w:rFonts w:ascii="宋体" w:hAnsi="宋体"/>
          <w:szCs w:val="24"/>
        </w:rPr>
      </w:pPr>
      <w:r>
        <w:rPr>
          <w:rFonts w:hint="eastAsia" w:ascii="宋体" w:hAnsi="宋体"/>
          <w:szCs w:val="24"/>
        </w:rPr>
        <w:t>10、自觉遵守各项规章制度，服从工作分配，坚守岗位。认真做好交接班工作，按规定做好相关文书书写工作。</w:t>
      </w:r>
    </w:p>
    <w:p w14:paraId="1FEF8CC0">
      <w:pPr>
        <w:spacing w:line="360" w:lineRule="auto"/>
        <w:ind w:firstLine="420" w:firstLineChars="200"/>
        <w:rPr>
          <w:rFonts w:ascii="宋体" w:hAnsi="宋体"/>
          <w:szCs w:val="24"/>
        </w:rPr>
      </w:pPr>
      <w:r>
        <w:rPr>
          <w:rFonts w:hint="eastAsia" w:ascii="宋体" w:hAnsi="宋体"/>
          <w:szCs w:val="24"/>
        </w:rPr>
        <w:t>11、参加甲方及乙方组织的培训、学习和考核及各项活动。</w:t>
      </w:r>
    </w:p>
    <w:p w14:paraId="43F7681C">
      <w:pPr>
        <w:spacing w:line="360" w:lineRule="auto"/>
        <w:ind w:firstLine="420" w:firstLineChars="200"/>
        <w:rPr>
          <w:rFonts w:ascii="宋体" w:hAnsi="宋体"/>
          <w:szCs w:val="24"/>
        </w:rPr>
      </w:pPr>
      <w:r>
        <w:rPr>
          <w:rFonts w:hint="eastAsia" w:ascii="宋体" w:hAnsi="宋体"/>
          <w:szCs w:val="24"/>
        </w:rPr>
        <w:t>12、完成交办的其它任务。</w:t>
      </w:r>
    </w:p>
    <w:p w14:paraId="0561C328">
      <w:pPr>
        <w:spacing w:line="360" w:lineRule="auto"/>
        <w:ind w:firstLine="420" w:firstLineChars="200"/>
        <w:rPr>
          <w:rFonts w:ascii="宋体" w:hAnsi="宋体"/>
          <w:szCs w:val="24"/>
        </w:rPr>
      </w:pPr>
      <w:r>
        <w:rPr>
          <w:rFonts w:hint="eastAsia" w:ascii="宋体" w:hAnsi="宋体"/>
          <w:szCs w:val="24"/>
        </w:rPr>
        <w:t>13、着装要求：投标人应为服务人员提供与岗位相匹配的工作服，包括春秋装、夏装、冬装、工作围裙、工作雨鞋等。</w:t>
      </w:r>
    </w:p>
    <w:p w14:paraId="128885DD">
      <w:pPr>
        <w:adjustRightInd w:val="0"/>
        <w:snapToGrid w:val="0"/>
        <w:spacing w:line="360" w:lineRule="auto"/>
        <w:ind w:firstLine="210" w:firstLineChars="100"/>
        <w:rPr>
          <w:rFonts w:hint="eastAsia" w:ascii="宋体" w:hAnsi="宋体"/>
          <w:color w:val="000000"/>
          <w:szCs w:val="24"/>
        </w:rPr>
      </w:pPr>
      <w:r>
        <w:rPr>
          <w:rFonts w:hint="eastAsia" w:ascii="宋体" w:hAnsi="宋体"/>
          <w:szCs w:val="24"/>
        </w:rPr>
        <w:t>14、服务期间，未经康养中心管理人员同意，私自离开服务场所，导致的一切法律责任由</w:t>
      </w:r>
      <w:r>
        <w:rPr>
          <w:rFonts w:hint="eastAsia" w:ascii="宋体" w:hAnsi="宋体"/>
          <w:szCs w:val="24"/>
          <w:lang w:val="en-US" w:eastAsia="zh-CN"/>
        </w:rPr>
        <w:t>乙方</w:t>
      </w:r>
      <w:r>
        <w:rPr>
          <w:rFonts w:hint="eastAsia" w:ascii="宋体" w:hAnsi="宋体"/>
          <w:szCs w:val="24"/>
        </w:rPr>
        <w:t>自行承担。</w:t>
      </w:r>
    </w:p>
    <w:p w14:paraId="0AF549CA">
      <w:pPr>
        <w:spacing w:line="360" w:lineRule="auto"/>
        <w:ind w:firstLine="422" w:firstLineChars="200"/>
        <w:rPr>
          <w:rFonts w:hint="eastAsia" w:ascii="宋体" w:hAnsi="宋体"/>
          <w:b/>
          <w:bCs/>
          <w:szCs w:val="24"/>
        </w:rPr>
      </w:pPr>
      <w:r>
        <w:rPr>
          <w:rFonts w:hint="eastAsia" w:ascii="宋体" w:hAnsi="宋体"/>
          <w:b/>
          <w:bCs/>
          <w:szCs w:val="24"/>
        </w:rPr>
        <w:t>第四条  甲方的权利与义务</w:t>
      </w:r>
    </w:p>
    <w:p w14:paraId="7F1C82F3">
      <w:pPr>
        <w:spacing w:line="360" w:lineRule="auto"/>
        <w:ind w:firstLine="420" w:firstLineChars="200"/>
        <w:rPr>
          <w:rFonts w:hint="eastAsia" w:ascii="宋体" w:hAnsi="宋体"/>
          <w:szCs w:val="24"/>
        </w:rPr>
      </w:pPr>
      <w:r>
        <w:rPr>
          <w:rFonts w:hint="eastAsia" w:ascii="宋体" w:hAnsi="宋体"/>
          <w:szCs w:val="24"/>
        </w:rPr>
        <w:t>1.甲方有权管理和监督乙方专业护理员的工作，对乙方的专业护理员及其他服务人员有管理和安排的权利，对不合格的护理员及其他服务人员有权要求乙方及时更换，对于不服从管理、恶意破坏甲方声誉者，有权清退；造成甲方人员或财产损失的，乙方应予赔偿。</w:t>
      </w:r>
    </w:p>
    <w:p w14:paraId="03D8A9CE">
      <w:pPr>
        <w:spacing w:line="360" w:lineRule="auto"/>
        <w:ind w:firstLine="420" w:firstLineChars="200"/>
        <w:rPr>
          <w:rFonts w:hint="eastAsia" w:ascii="宋体" w:hAnsi="宋体"/>
          <w:szCs w:val="24"/>
        </w:rPr>
      </w:pPr>
      <w:r>
        <w:rPr>
          <w:rFonts w:hint="eastAsia" w:ascii="宋体" w:hAnsi="宋体"/>
          <w:szCs w:val="24"/>
        </w:rPr>
        <w:t>2.甲方有权对乙方在合作期间不规范的服务进行阻止，情节严重的可即时要求乙方服务人员离开甲方场所（不规范行为的情形由双方另行以书面形式备案）。</w:t>
      </w:r>
    </w:p>
    <w:p w14:paraId="00AE9E6E">
      <w:pPr>
        <w:spacing w:line="360" w:lineRule="auto"/>
        <w:ind w:firstLine="420" w:firstLineChars="200"/>
        <w:rPr>
          <w:rFonts w:hint="eastAsia" w:ascii="宋体" w:hAnsi="宋体" w:cs="宋体"/>
          <w:szCs w:val="24"/>
        </w:rPr>
      </w:pPr>
      <w:r>
        <w:rPr>
          <w:rFonts w:hint="eastAsia" w:ascii="宋体" w:hAnsi="宋体"/>
          <w:szCs w:val="24"/>
        </w:rPr>
        <w:t>3.甲方有权要求乙方对护理员及其他服务人员在服装、着装、仪表等方面进行规范。</w:t>
      </w:r>
    </w:p>
    <w:p w14:paraId="46009C2E">
      <w:pPr>
        <w:spacing w:line="360" w:lineRule="auto"/>
        <w:ind w:firstLine="422" w:firstLineChars="200"/>
        <w:rPr>
          <w:rFonts w:hint="eastAsia" w:ascii="宋体" w:hAnsi="宋体"/>
          <w:b/>
          <w:bCs/>
          <w:szCs w:val="24"/>
        </w:rPr>
      </w:pPr>
      <w:r>
        <w:rPr>
          <w:rFonts w:hint="eastAsia" w:ascii="宋体" w:hAnsi="宋体"/>
          <w:b/>
          <w:bCs/>
          <w:szCs w:val="24"/>
        </w:rPr>
        <w:t>第五条  乙方权利与义务</w:t>
      </w:r>
    </w:p>
    <w:p w14:paraId="20746FB9">
      <w:pPr>
        <w:spacing w:line="360" w:lineRule="auto"/>
        <w:ind w:firstLine="420" w:firstLineChars="200"/>
        <w:rPr>
          <w:rFonts w:hint="eastAsia" w:ascii="宋体" w:hAnsi="宋体"/>
          <w:szCs w:val="24"/>
        </w:rPr>
      </w:pPr>
      <w:r>
        <w:rPr>
          <w:rFonts w:hint="eastAsia" w:ascii="宋体" w:hAnsi="宋体"/>
          <w:szCs w:val="24"/>
        </w:rPr>
        <w:t>1.乙方提供给甲方的护理员，由乙方与其签订劳动合同，发放工资，并办理各项有关保险福利待遇等。</w:t>
      </w:r>
    </w:p>
    <w:p w14:paraId="2DEED770">
      <w:pPr>
        <w:spacing w:line="360" w:lineRule="auto"/>
        <w:ind w:firstLine="420" w:firstLineChars="200"/>
        <w:rPr>
          <w:rFonts w:hint="eastAsia" w:ascii="宋体" w:hAnsi="宋体"/>
          <w:szCs w:val="24"/>
        </w:rPr>
      </w:pPr>
      <w:r>
        <w:rPr>
          <w:rFonts w:hint="eastAsia" w:ascii="宋体" w:hAnsi="宋体"/>
          <w:szCs w:val="24"/>
        </w:rPr>
        <w:t>2.乙方提供的护理员及其他服务人员条件应具备</w:t>
      </w:r>
      <w:r>
        <w:rPr>
          <w:rFonts w:hint="eastAsia" w:ascii="宋体" w:hAnsi="宋体"/>
          <w:szCs w:val="24"/>
          <w:highlight w:val="none"/>
        </w:rPr>
        <w:t>：女性年龄小于5</w:t>
      </w:r>
      <w:r>
        <w:rPr>
          <w:rFonts w:hint="eastAsia" w:ascii="宋体" w:hAnsi="宋体"/>
          <w:szCs w:val="24"/>
          <w:highlight w:val="none"/>
          <w:lang w:val="en-US" w:eastAsia="zh-CN"/>
        </w:rPr>
        <w:t>6</w:t>
      </w:r>
      <w:r>
        <w:rPr>
          <w:rFonts w:hint="eastAsia" w:ascii="宋体" w:hAnsi="宋体"/>
          <w:szCs w:val="24"/>
          <w:highlight w:val="none"/>
        </w:rPr>
        <w:t>周岁，男性小于60周岁，经验丰富可适当放宽年龄要求，具有一定文化基础，热爱祖国，服从中国共产党的领导，无违法犯罪经历，身体健康，能坚持本岗位工作，履行本岗</w:t>
      </w:r>
      <w:r>
        <w:rPr>
          <w:rFonts w:hint="eastAsia" w:ascii="宋体" w:hAnsi="宋体"/>
          <w:szCs w:val="24"/>
        </w:rPr>
        <w:t>位职责，持有体检合格证、有效身份证、培训合格证或上岗证等证明。</w:t>
      </w:r>
    </w:p>
    <w:p w14:paraId="3ECBA540">
      <w:pPr>
        <w:spacing w:line="360" w:lineRule="auto"/>
        <w:ind w:firstLine="420" w:firstLineChars="200"/>
        <w:rPr>
          <w:rFonts w:hint="eastAsia" w:ascii="宋体" w:hAnsi="宋体"/>
          <w:szCs w:val="24"/>
        </w:rPr>
      </w:pPr>
      <w:r>
        <w:rPr>
          <w:rFonts w:hint="eastAsia" w:ascii="宋体" w:hAnsi="宋体"/>
          <w:szCs w:val="24"/>
        </w:rPr>
        <w:t>3.</w:t>
      </w:r>
      <w:bookmarkStart w:id="13" w:name="OLE_LINK1"/>
      <w:r>
        <w:rPr>
          <w:rFonts w:hint="eastAsia" w:ascii="宋体" w:hAnsi="宋体"/>
          <w:szCs w:val="24"/>
        </w:rPr>
        <w:t>乙方的护理员实行轮班制，原则上轮休时间不少于2天/月，轮休期间，乙方要负责落实其他养老护理员，务必到岗到位，做到尽职尽责，严禁脱岗、串岗、耍手机、长时间接听电话等做与工作无关的事情</w:t>
      </w:r>
      <w:bookmarkEnd w:id="13"/>
      <w:r>
        <w:rPr>
          <w:rFonts w:hint="eastAsia" w:ascii="宋体" w:hAnsi="宋体"/>
          <w:szCs w:val="24"/>
        </w:rPr>
        <w:t>。</w:t>
      </w:r>
    </w:p>
    <w:p w14:paraId="258F5F9E">
      <w:pPr>
        <w:spacing w:line="360" w:lineRule="auto"/>
        <w:ind w:firstLine="420" w:firstLineChars="200"/>
        <w:rPr>
          <w:rFonts w:hint="eastAsia" w:ascii="宋体" w:hAnsi="宋体"/>
          <w:szCs w:val="24"/>
        </w:rPr>
      </w:pPr>
      <w:r>
        <w:rPr>
          <w:rFonts w:hint="eastAsia" w:ascii="宋体" w:hAnsi="宋体"/>
          <w:szCs w:val="24"/>
        </w:rPr>
        <w:t>4.乙方有义务不断提高服务质量。甲方需要新增护理员时，乙方应在规定时间内按照要求护理员到岗：</w:t>
      </w:r>
      <w:r>
        <w:rPr>
          <w:rFonts w:hint="eastAsia" w:ascii="宋体" w:hAnsi="宋体"/>
          <w:szCs w:val="24"/>
          <w:highlight w:val="none"/>
        </w:rPr>
        <w:t>在甲方与乙方有预约时，乙方须在48小时内安排护理员到位；甲方</w:t>
      </w:r>
      <w:r>
        <w:rPr>
          <w:rFonts w:hint="eastAsia" w:ascii="宋体" w:hAnsi="宋体"/>
          <w:szCs w:val="24"/>
        </w:rPr>
        <w:t>与乙方无预约时，乙方接到甲方通知后须在72小时内安排护理员到位。</w:t>
      </w:r>
    </w:p>
    <w:p w14:paraId="0854024C">
      <w:pPr>
        <w:spacing w:line="360" w:lineRule="auto"/>
        <w:ind w:firstLine="420" w:firstLineChars="200"/>
        <w:rPr>
          <w:rFonts w:hint="eastAsia" w:ascii="宋体" w:hAnsi="宋体"/>
          <w:szCs w:val="24"/>
        </w:rPr>
      </w:pPr>
      <w:r>
        <w:rPr>
          <w:rFonts w:hint="eastAsia" w:ascii="宋体" w:hAnsi="宋体"/>
          <w:szCs w:val="24"/>
        </w:rPr>
        <w:t>5.乙方应要求其护理员为康养人员提供以生活照料为主的服务。</w:t>
      </w:r>
    </w:p>
    <w:p w14:paraId="19E8E58B">
      <w:pPr>
        <w:spacing w:line="360" w:lineRule="auto"/>
        <w:ind w:firstLine="420" w:firstLineChars="200"/>
        <w:rPr>
          <w:rFonts w:hint="eastAsia" w:ascii="宋体" w:hAnsi="宋体"/>
          <w:szCs w:val="24"/>
        </w:rPr>
      </w:pPr>
      <w:r>
        <w:rPr>
          <w:rFonts w:hint="eastAsia" w:ascii="宋体" w:hAnsi="宋体"/>
          <w:szCs w:val="24"/>
        </w:rPr>
        <w:t>6.乙方护理员上岗须按规定着装，佩戴工作牌，言行规范，文明礼貌、节约能耗等规范行为，接受甲方科室及乙方随时监督及检查，如有违反，乙方无条件整改，每月将整改意见以书面形式上报甲方。</w:t>
      </w:r>
    </w:p>
    <w:p w14:paraId="16BAC75C">
      <w:pPr>
        <w:spacing w:line="360" w:lineRule="auto"/>
        <w:ind w:firstLine="420" w:firstLineChars="200"/>
        <w:rPr>
          <w:rFonts w:hint="eastAsia" w:ascii="宋体" w:hAnsi="宋体"/>
          <w:szCs w:val="24"/>
        </w:rPr>
      </w:pPr>
      <w:r>
        <w:rPr>
          <w:rFonts w:hint="eastAsia" w:ascii="宋体" w:hAnsi="宋体"/>
          <w:szCs w:val="24"/>
        </w:rPr>
        <w:t>7.乙方应要求其护理员遵循甲方医护人员的指导意见，为康养人员提供相应的生活护理，遵守甲方各项规章制度。</w:t>
      </w:r>
    </w:p>
    <w:p w14:paraId="167EE14D">
      <w:pPr>
        <w:spacing w:line="360" w:lineRule="auto"/>
        <w:ind w:firstLine="420" w:firstLineChars="200"/>
        <w:rPr>
          <w:rFonts w:hint="eastAsia" w:ascii="宋体" w:hAnsi="宋体"/>
          <w:szCs w:val="24"/>
        </w:rPr>
      </w:pPr>
      <w:r>
        <w:rPr>
          <w:rFonts w:ascii="宋体" w:hAnsi="宋体"/>
          <w:szCs w:val="24"/>
        </w:rPr>
        <w:t>8</w:t>
      </w:r>
      <w:r>
        <w:rPr>
          <w:rFonts w:hint="eastAsia" w:ascii="宋体" w:hAnsi="宋体"/>
          <w:szCs w:val="24"/>
        </w:rPr>
        <w:t>.乙方应要求其护理员有责任保护康养人员隐私，保守康养人员秘密；未经允许乙方护理员不得翻阅康养人员的档案资料。</w:t>
      </w:r>
    </w:p>
    <w:p w14:paraId="1C960863">
      <w:pPr>
        <w:spacing w:line="360" w:lineRule="auto"/>
        <w:ind w:firstLine="420" w:firstLineChars="200"/>
        <w:rPr>
          <w:rFonts w:hint="eastAsia" w:ascii="宋体" w:hAnsi="宋体"/>
          <w:szCs w:val="24"/>
        </w:rPr>
      </w:pPr>
      <w:r>
        <w:rPr>
          <w:rFonts w:ascii="宋体" w:hAnsi="宋体"/>
          <w:szCs w:val="24"/>
        </w:rPr>
        <w:t>9</w:t>
      </w:r>
      <w:r>
        <w:rPr>
          <w:rFonts w:hint="eastAsia" w:ascii="宋体" w:hAnsi="宋体"/>
          <w:szCs w:val="24"/>
        </w:rPr>
        <w:t>.乙方护理员照护的康养人员发生跌伤、走失、坠床等意外，可以明确界定责任的由责任方承担</w:t>
      </w:r>
      <w:r>
        <w:rPr>
          <w:rFonts w:hint="eastAsia" w:ascii="宋体" w:hAnsi="宋体"/>
          <w:szCs w:val="24"/>
          <w:highlight w:val="none"/>
        </w:rPr>
        <w:t>；无法界定责任的，双方按照责任比例承担法律责任，乙方承担70%，甲方承担30%。乙方护</w:t>
      </w:r>
      <w:r>
        <w:rPr>
          <w:rFonts w:hint="eastAsia" w:ascii="宋体" w:hAnsi="宋体"/>
          <w:szCs w:val="24"/>
        </w:rPr>
        <w:t>理员发生人身伤害、财产损失、工伤，由乙方承担法律责任和经济赔偿，甲方不承担责任。乙方应及时处理护理员与康养人员的纠纷，不得由此对甲方产生影响。</w:t>
      </w:r>
    </w:p>
    <w:p w14:paraId="42CC8765">
      <w:pPr>
        <w:spacing w:line="360" w:lineRule="auto"/>
        <w:ind w:firstLine="420" w:firstLineChars="200"/>
        <w:rPr>
          <w:rFonts w:hint="eastAsia" w:ascii="宋体" w:hAnsi="宋体"/>
          <w:szCs w:val="24"/>
        </w:rPr>
      </w:pPr>
      <w:r>
        <w:rPr>
          <w:rFonts w:hint="eastAsia" w:ascii="宋体" w:hAnsi="宋体"/>
          <w:szCs w:val="24"/>
        </w:rPr>
        <w:t>1</w:t>
      </w:r>
      <w:r>
        <w:rPr>
          <w:rFonts w:ascii="宋体" w:hAnsi="宋体"/>
          <w:szCs w:val="24"/>
        </w:rPr>
        <w:t>0</w:t>
      </w:r>
      <w:r>
        <w:rPr>
          <w:rFonts w:hint="eastAsia" w:ascii="宋体" w:hAnsi="宋体"/>
          <w:szCs w:val="24"/>
        </w:rPr>
        <w:t>.乙方有义务向甲方保证提高照护服务质量，甲方通过量化指标对乙方的服务质量进行每月考核，乙方达标后次月按实际考核结果核算绩效后发放给乙方；如连续一个季度考核不合格，甲方有权拒绝支付相关费用，期间所产生的各种损失由乙方负责。</w:t>
      </w:r>
    </w:p>
    <w:p w14:paraId="3B7307D5">
      <w:pPr>
        <w:spacing w:line="360" w:lineRule="auto"/>
        <w:ind w:firstLine="420" w:firstLineChars="200"/>
        <w:rPr>
          <w:rFonts w:hint="eastAsia" w:ascii="宋体" w:hAnsi="宋体"/>
          <w:szCs w:val="24"/>
        </w:rPr>
      </w:pPr>
      <w:r>
        <w:rPr>
          <w:rFonts w:hint="eastAsia" w:ascii="宋体" w:hAnsi="宋体"/>
          <w:szCs w:val="24"/>
        </w:rPr>
        <w:t>1</w:t>
      </w:r>
      <w:r>
        <w:rPr>
          <w:rFonts w:ascii="宋体" w:hAnsi="宋体"/>
          <w:szCs w:val="24"/>
        </w:rPr>
        <w:t>1</w:t>
      </w:r>
      <w:r>
        <w:rPr>
          <w:rFonts w:hint="eastAsia" w:ascii="宋体" w:hAnsi="宋体"/>
          <w:szCs w:val="24"/>
        </w:rPr>
        <w:t>.乙方对不合格的护理员及其他服务人员有及时进行更换的义务，并不得影响甲方工作的正常开展，不得影响甲方声誉，并纳入甲方绩效考核。当护理员发生向康养人员及家属索要或收受财物，殴打、体罚、谩骂康养人员，对康养人员实施冷暴力的情况，乙方应对当事护理员做出严肃处理，并及时进行更换，涉及行政、刑事法律责任的，乙方应配合相关部门处理。乙方与护理员及其他服务人员解除劳动合同所发生的经济补偿金由乙方全部承担。</w:t>
      </w:r>
    </w:p>
    <w:p w14:paraId="47003D90">
      <w:pPr>
        <w:spacing w:line="360" w:lineRule="auto"/>
        <w:ind w:firstLine="420" w:firstLineChars="200"/>
        <w:rPr>
          <w:rFonts w:hint="eastAsia" w:ascii="宋体" w:hAnsi="宋体"/>
          <w:szCs w:val="24"/>
        </w:rPr>
      </w:pPr>
      <w:r>
        <w:rPr>
          <w:rFonts w:hint="eastAsia" w:ascii="宋体" w:hAnsi="宋体"/>
          <w:szCs w:val="24"/>
        </w:rPr>
        <w:t>1</w:t>
      </w:r>
      <w:r>
        <w:rPr>
          <w:rFonts w:ascii="宋体" w:hAnsi="宋体"/>
          <w:szCs w:val="24"/>
        </w:rPr>
        <w:t>2</w:t>
      </w:r>
      <w:r>
        <w:rPr>
          <w:rFonts w:hint="eastAsia" w:ascii="宋体" w:hAnsi="宋体"/>
          <w:szCs w:val="24"/>
        </w:rPr>
        <w:t>.乙方护理员需按照甲方要求做好工作记录，客观、实事求是，不得凭空捏造相关记录，不得主观而为之，如有违反3次以上，甲方可酌情对乙方进行处罚。</w:t>
      </w:r>
    </w:p>
    <w:p w14:paraId="6F468637">
      <w:pPr>
        <w:spacing w:line="360" w:lineRule="auto"/>
        <w:ind w:firstLine="420" w:firstLineChars="200"/>
        <w:rPr>
          <w:rFonts w:hint="eastAsia" w:ascii="宋体" w:hAnsi="宋体"/>
          <w:szCs w:val="24"/>
        </w:rPr>
      </w:pPr>
      <w:r>
        <w:rPr>
          <w:rFonts w:hint="eastAsia" w:ascii="宋体" w:hAnsi="宋体"/>
          <w:szCs w:val="24"/>
        </w:rPr>
        <w:t>1</w:t>
      </w:r>
      <w:r>
        <w:rPr>
          <w:rFonts w:ascii="宋体" w:hAnsi="宋体"/>
          <w:szCs w:val="24"/>
        </w:rPr>
        <w:t>3</w:t>
      </w:r>
      <w:r>
        <w:rPr>
          <w:rFonts w:hint="eastAsia" w:ascii="宋体" w:hAnsi="宋体"/>
          <w:szCs w:val="24"/>
        </w:rPr>
        <w:t>.服务期间，乙方护理员未经康养中心管理人员同意，私自离开服务场所，导致的一切法律责任（包括护理员本人及其所照护的老人）由乙方承担。</w:t>
      </w:r>
    </w:p>
    <w:p w14:paraId="7F97E210">
      <w:pPr>
        <w:spacing w:line="360" w:lineRule="auto"/>
        <w:ind w:firstLine="420" w:firstLineChars="200"/>
        <w:rPr>
          <w:rFonts w:hint="eastAsia" w:ascii="宋体" w:hAnsi="宋体"/>
          <w:szCs w:val="24"/>
        </w:rPr>
      </w:pPr>
      <w:r>
        <w:rPr>
          <w:rFonts w:hint="eastAsia" w:ascii="宋体" w:hAnsi="宋体"/>
          <w:szCs w:val="24"/>
        </w:rPr>
        <w:t>1</w:t>
      </w:r>
      <w:r>
        <w:rPr>
          <w:rFonts w:ascii="宋体" w:hAnsi="宋体"/>
          <w:szCs w:val="24"/>
        </w:rPr>
        <w:t>4</w:t>
      </w:r>
      <w:r>
        <w:rPr>
          <w:rFonts w:hint="eastAsia" w:ascii="宋体" w:hAnsi="宋体"/>
          <w:szCs w:val="24"/>
        </w:rPr>
        <w:t>.护理员排班、轮休由乙方负责安排，甲方负责审核，乙方的安排不得影响护养质量及安全，由此导致的一切后果由乙方承担。</w:t>
      </w:r>
    </w:p>
    <w:p w14:paraId="00C88A36">
      <w:pPr>
        <w:spacing w:line="360" w:lineRule="auto"/>
        <w:ind w:firstLine="420" w:firstLineChars="200"/>
        <w:rPr>
          <w:rFonts w:hint="eastAsia" w:ascii="宋体" w:hAnsi="宋体"/>
          <w:szCs w:val="24"/>
        </w:rPr>
      </w:pPr>
      <w:r>
        <w:rPr>
          <w:rFonts w:hint="eastAsia" w:ascii="宋体" w:hAnsi="宋体"/>
          <w:szCs w:val="24"/>
        </w:rPr>
        <w:t>第六条  服务模式及服务场所</w:t>
      </w:r>
    </w:p>
    <w:p w14:paraId="286AD99D">
      <w:pPr>
        <w:spacing w:line="360" w:lineRule="auto"/>
        <w:ind w:firstLine="420" w:firstLineChars="200"/>
        <w:rPr>
          <w:rFonts w:hint="eastAsia" w:ascii="宋体" w:hAnsi="宋体"/>
          <w:szCs w:val="24"/>
        </w:rPr>
      </w:pPr>
      <w:r>
        <w:rPr>
          <w:rFonts w:hint="eastAsia" w:ascii="宋体" w:hAnsi="宋体"/>
          <w:szCs w:val="24"/>
        </w:rPr>
        <w:t>服务模式：服务小组的模式；</w:t>
      </w:r>
    </w:p>
    <w:p w14:paraId="262B2505">
      <w:pPr>
        <w:spacing w:line="360" w:lineRule="auto"/>
        <w:ind w:firstLine="420" w:firstLineChars="200"/>
        <w:rPr>
          <w:rFonts w:hint="eastAsia" w:ascii="宋体" w:hAnsi="宋体"/>
          <w:szCs w:val="24"/>
        </w:rPr>
      </w:pPr>
      <w:r>
        <w:rPr>
          <w:rFonts w:hint="eastAsia" w:ascii="宋体" w:hAnsi="宋体"/>
          <w:szCs w:val="24"/>
        </w:rPr>
        <w:t>服务场所：浙江康复医院康养中心。</w:t>
      </w:r>
    </w:p>
    <w:p w14:paraId="6037ECA5">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firstLine="420" w:firstLineChars="200"/>
        <w:textAlignment w:val="auto"/>
      </w:pPr>
      <w:r>
        <w:rPr>
          <w:rFonts w:hint="eastAsia" w:ascii="宋体" w:hAnsi="宋体"/>
          <w:szCs w:val="24"/>
        </w:rPr>
        <w:t xml:space="preserve"> 服务费用及支付方式</w:t>
      </w:r>
    </w:p>
    <w:p w14:paraId="5C7E647F">
      <w:pPr>
        <w:pStyle w:val="2"/>
        <w:keepNext w:val="0"/>
        <w:keepLines w:val="0"/>
        <w:pageBreakBefore w:val="0"/>
        <w:widowControl w:val="0"/>
        <w:kinsoku/>
        <w:wordWrap/>
        <w:overflowPunct/>
        <w:topLinePunct w:val="0"/>
        <w:autoSpaceDE/>
        <w:autoSpaceDN/>
        <w:bidi w:val="0"/>
        <w:adjustRightInd/>
        <w:snapToGrid/>
        <w:spacing w:line="360" w:lineRule="auto"/>
        <w:ind w:firstLineChars="200"/>
        <w:textAlignment w:val="auto"/>
      </w:pPr>
      <w:r>
        <w:rPr>
          <w:rFonts w:hint="eastAsia"/>
        </w:rPr>
        <w:t>1.根据招标需求完成情况和考核标准，分季度拨付相应管理费用。</w:t>
      </w:r>
    </w:p>
    <w:p w14:paraId="1AAFB25A">
      <w:pPr>
        <w:pStyle w:val="2"/>
        <w:keepNext w:val="0"/>
        <w:keepLines w:val="0"/>
        <w:pageBreakBefore w:val="0"/>
        <w:widowControl w:val="0"/>
        <w:kinsoku/>
        <w:wordWrap/>
        <w:overflowPunct/>
        <w:topLinePunct w:val="0"/>
        <w:autoSpaceDE/>
        <w:autoSpaceDN/>
        <w:bidi w:val="0"/>
        <w:adjustRightInd/>
        <w:snapToGrid/>
        <w:spacing w:line="360" w:lineRule="auto"/>
        <w:ind w:firstLineChars="200"/>
        <w:textAlignment w:val="auto"/>
        <w:rPr>
          <w:rFonts w:hint="eastAsia"/>
          <w:highlight w:val="none"/>
          <w:lang w:eastAsia="zh-CN"/>
        </w:rPr>
      </w:pPr>
      <w:r>
        <w:rPr>
          <w:rFonts w:hint="eastAsia"/>
          <w:highlight w:val="none"/>
        </w:rPr>
        <w:t>2.项目主管、护理员薪资</w:t>
      </w:r>
      <w:r>
        <w:rPr>
          <w:rFonts w:hint="eastAsia"/>
          <w:highlight w:val="none"/>
          <w:lang w:eastAsia="zh-CN"/>
        </w:rPr>
        <w:t>、</w:t>
      </w:r>
      <w:r>
        <w:rPr>
          <w:rFonts w:hint="eastAsia"/>
          <w:highlight w:val="none"/>
          <w:lang w:val="en-US" w:eastAsia="zh-CN"/>
        </w:rPr>
        <w:t>社保单位缴纳部分</w:t>
      </w:r>
      <w:r>
        <w:rPr>
          <w:rFonts w:hint="eastAsia"/>
          <w:highlight w:val="none"/>
        </w:rPr>
        <w:t>及</w:t>
      </w:r>
      <w:r>
        <w:rPr>
          <w:rFonts w:hint="eastAsia"/>
          <w:highlight w:val="none"/>
          <w:lang w:val="en-US" w:eastAsia="zh-CN"/>
        </w:rPr>
        <w:t>福利</w:t>
      </w:r>
      <w:r>
        <w:rPr>
          <w:rFonts w:hint="eastAsia"/>
          <w:highlight w:val="none"/>
        </w:rPr>
        <w:t>等由甲方按月打款至乙方后，乙方发放给相关护理员。护理员薪资福利由甲方按规定明确，涉及社保的员工，单位社保由甲方结算，由乙方负责缴纳</w:t>
      </w:r>
      <w:r>
        <w:rPr>
          <w:rFonts w:hint="eastAsia"/>
          <w:highlight w:val="none"/>
          <w:lang w:eastAsia="zh-CN"/>
        </w:rPr>
        <w:t>。</w:t>
      </w:r>
    </w:p>
    <w:p w14:paraId="3F2BC7BD">
      <w:pPr>
        <w:pStyle w:val="2"/>
        <w:keepNext w:val="0"/>
        <w:keepLines w:val="0"/>
        <w:pageBreakBefore w:val="0"/>
        <w:widowControl w:val="0"/>
        <w:kinsoku/>
        <w:wordWrap/>
        <w:overflowPunct/>
        <w:topLinePunct w:val="0"/>
        <w:autoSpaceDE/>
        <w:autoSpaceDN/>
        <w:bidi w:val="0"/>
        <w:adjustRightInd/>
        <w:snapToGrid/>
        <w:spacing w:line="360" w:lineRule="auto"/>
        <w:ind w:firstLineChars="200"/>
        <w:textAlignment w:val="auto"/>
        <w:rPr>
          <w:highlight w:val="none"/>
        </w:rPr>
      </w:pPr>
      <w:r>
        <w:rPr>
          <w:rFonts w:hint="eastAsia"/>
        </w:rPr>
        <w:t>3.支付流程为每月5号前乙方编制并提交在岗项目主管、护理员上一个月基本薪资及福利费的核算单，经甲方审核确认，并收到乙方有效发票后，按甲方财务流程支付。如因乙方薪资费用核算单提交过迟，</w:t>
      </w:r>
      <w:r>
        <w:rPr>
          <w:rFonts w:hint="eastAsia" w:ascii="宋体" w:hAnsi="宋体"/>
          <w:color w:val="auto"/>
          <w:szCs w:val="24"/>
          <w:highlight w:val="none"/>
        </w:rPr>
        <w:t>或</w:t>
      </w:r>
      <w:r>
        <w:rPr>
          <w:rFonts w:hint="eastAsia" w:ascii="宋体" w:hAnsi="宋体"/>
          <w:strike w:val="0"/>
          <w:color w:val="auto"/>
          <w:szCs w:val="24"/>
          <w:highlight w:val="none"/>
          <w:lang w:eastAsia="zh-CN"/>
        </w:rPr>
        <w:t>乙方对甲方审核后的</w:t>
      </w:r>
      <w:r>
        <w:rPr>
          <w:rFonts w:hint="eastAsia" w:ascii="宋体" w:hAnsi="宋体"/>
          <w:color w:val="auto"/>
          <w:szCs w:val="24"/>
          <w:highlight w:val="none"/>
        </w:rPr>
        <w:t>费用有异议</w:t>
      </w:r>
      <w:r>
        <w:rPr>
          <w:rFonts w:hint="eastAsia"/>
          <w:highlight w:val="none"/>
        </w:rPr>
        <w:t>，导致费用支付延迟，由此引发的一切后果由乙方承担。</w:t>
      </w:r>
    </w:p>
    <w:p w14:paraId="0D9A75B4">
      <w:pPr>
        <w:pStyle w:val="2"/>
        <w:keepNext w:val="0"/>
        <w:keepLines w:val="0"/>
        <w:pageBreakBefore w:val="0"/>
        <w:widowControl w:val="0"/>
        <w:kinsoku/>
        <w:wordWrap/>
        <w:overflowPunct/>
        <w:topLinePunct w:val="0"/>
        <w:autoSpaceDE/>
        <w:autoSpaceDN/>
        <w:bidi w:val="0"/>
        <w:adjustRightInd/>
        <w:snapToGrid/>
        <w:spacing w:line="360" w:lineRule="auto"/>
        <w:ind w:firstLineChars="200"/>
        <w:textAlignment w:val="auto"/>
        <w:rPr>
          <w:highlight w:val="none"/>
        </w:rPr>
      </w:pPr>
      <w:r>
        <w:rPr>
          <w:rFonts w:hint="eastAsia"/>
          <w:highlight w:val="none"/>
        </w:rPr>
        <w:t>4.如遇节假日，费用支付时间自动顺延到节假日后第一个工作日。</w:t>
      </w:r>
    </w:p>
    <w:p w14:paraId="79A23E46">
      <w:pPr>
        <w:pStyle w:val="2"/>
        <w:keepNext w:val="0"/>
        <w:keepLines w:val="0"/>
        <w:pageBreakBefore w:val="0"/>
        <w:widowControl w:val="0"/>
        <w:kinsoku/>
        <w:wordWrap/>
        <w:overflowPunct/>
        <w:topLinePunct w:val="0"/>
        <w:autoSpaceDE/>
        <w:autoSpaceDN/>
        <w:bidi w:val="0"/>
        <w:adjustRightInd/>
        <w:snapToGrid/>
        <w:spacing w:line="360" w:lineRule="auto"/>
        <w:ind w:firstLineChars="200"/>
        <w:textAlignment w:val="auto"/>
      </w:pPr>
      <w:r>
        <w:rPr>
          <w:rFonts w:hint="eastAsia"/>
        </w:rPr>
        <w:t>5.乙方为甲方提供增值税电子普通发票，产生的企业所得税等由乙方承担。</w:t>
      </w:r>
    </w:p>
    <w:p w14:paraId="4A7B0D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4"/>
        </w:rPr>
      </w:pPr>
      <w:r>
        <w:rPr>
          <w:rFonts w:hint="eastAsia" w:ascii="宋体" w:hAnsi="宋体"/>
          <w:szCs w:val="24"/>
        </w:rPr>
        <w:t>第八条  违约责任</w:t>
      </w:r>
    </w:p>
    <w:p w14:paraId="6DC4931F">
      <w:pPr>
        <w:spacing w:line="360" w:lineRule="auto"/>
        <w:ind w:firstLine="420" w:firstLineChars="200"/>
        <w:rPr>
          <w:rFonts w:hint="eastAsia" w:ascii="宋体" w:hAnsi="宋体"/>
          <w:szCs w:val="24"/>
        </w:rPr>
      </w:pPr>
      <w:r>
        <w:rPr>
          <w:rFonts w:hint="eastAsia" w:ascii="宋体" w:hAnsi="宋体"/>
          <w:szCs w:val="24"/>
        </w:rPr>
        <w:t>1.甲乙双方必须遵守本合同并执行合同中的各项规定，保证本合同正常履行。</w:t>
      </w:r>
    </w:p>
    <w:p w14:paraId="294CFA7C">
      <w:pPr>
        <w:spacing w:line="360" w:lineRule="auto"/>
        <w:ind w:firstLine="420" w:firstLineChars="200"/>
        <w:rPr>
          <w:rFonts w:hint="eastAsia" w:ascii="宋体" w:hAnsi="宋体"/>
          <w:szCs w:val="24"/>
        </w:rPr>
      </w:pPr>
      <w:r>
        <w:rPr>
          <w:rFonts w:hint="eastAsia" w:ascii="宋体" w:hAnsi="宋体"/>
          <w:szCs w:val="24"/>
        </w:rPr>
        <w:t>2.服务期内发生以下情形，甲方可随时解除本合同，甲方至少需提前1周向乙方提出解除合同书面通知函，并确定时间表，在此期间乙方不得停止为甲方服务工作，做好相应交接工作，甲方按服务时间计算并支付乙方服务费。</w:t>
      </w:r>
    </w:p>
    <w:p w14:paraId="09322205">
      <w:pPr>
        <w:spacing w:line="360" w:lineRule="auto"/>
        <w:ind w:firstLine="420" w:firstLineChars="200"/>
        <w:rPr>
          <w:rFonts w:hint="eastAsia" w:ascii="宋体" w:hAnsi="宋体"/>
          <w:szCs w:val="24"/>
        </w:rPr>
      </w:pPr>
      <w:r>
        <w:rPr>
          <w:rFonts w:hint="eastAsia" w:ascii="宋体" w:hAnsi="宋体"/>
          <w:szCs w:val="24"/>
        </w:rPr>
        <w:t>（1）乙方单月服务对象的满意率低于8</w:t>
      </w:r>
      <w:r>
        <w:rPr>
          <w:rFonts w:ascii="宋体" w:hAnsi="宋体"/>
          <w:szCs w:val="24"/>
        </w:rPr>
        <w:t>0</w:t>
      </w:r>
      <w:r>
        <w:rPr>
          <w:rFonts w:hint="eastAsia" w:ascii="宋体" w:hAnsi="宋体"/>
          <w:szCs w:val="24"/>
        </w:rPr>
        <w:t>%（以甲方调查为准），或者连续3月服务对象的满意率不足80%。</w:t>
      </w:r>
    </w:p>
    <w:p w14:paraId="634FCB6B">
      <w:pPr>
        <w:spacing w:line="360" w:lineRule="auto"/>
        <w:ind w:firstLine="420" w:firstLineChars="200"/>
        <w:rPr>
          <w:rFonts w:hint="eastAsia" w:ascii="宋体" w:hAnsi="宋体"/>
          <w:szCs w:val="24"/>
        </w:rPr>
      </w:pPr>
      <w:r>
        <w:rPr>
          <w:rFonts w:hint="eastAsia" w:ascii="宋体" w:hAnsi="宋体"/>
          <w:szCs w:val="24"/>
        </w:rPr>
        <w:t>（2）乙方不遵守协议规定或损害甲方利益的行为，甲方可拒付当月乙方费用。因乙方或其护理员原因所导致的赔偿费用由乙方支付，与甲方无关。</w:t>
      </w:r>
    </w:p>
    <w:p w14:paraId="073BAB28">
      <w:pPr>
        <w:spacing w:line="360" w:lineRule="auto"/>
        <w:ind w:firstLine="420" w:firstLineChars="200"/>
        <w:rPr>
          <w:rFonts w:hint="eastAsia" w:ascii="宋体" w:hAnsi="宋体"/>
          <w:szCs w:val="24"/>
        </w:rPr>
      </w:pPr>
      <w:r>
        <w:rPr>
          <w:rFonts w:hint="eastAsia" w:ascii="宋体" w:hAnsi="宋体"/>
          <w:szCs w:val="24"/>
        </w:rPr>
        <w:t>（3）因乙方或其护理员导致的重大安全事件及乙方或其护理员所致产生一定社会负面影响的乙方无条件处理相关事宜并承担法律责任，相关法律责任及赔偿责任与甲方无关。</w:t>
      </w:r>
    </w:p>
    <w:p w14:paraId="1721C47F">
      <w:pPr>
        <w:spacing w:line="360" w:lineRule="auto"/>
        <w:ind w:firstLine="420" w:firstLineChars="200"/>
        <w:rPr>
          <w:rFonts w:hint="eastAsia" w:ascii="宋体" w:hAnsi="宋体"/>
          <w:szCs w:val="24"/>
        </w:rPr>
      </w:pPr>
      <w:r>
        <w:rPr>
          <w:rFonts w:hint="eastAsia" w:ascii="宋体" w:hAnsi="宋体"/>
          <w:szCs w:val="24"/>
        </w:rPr>
        <w:t>（4）甲方所致的重大安全事件及甲方所致产生一定社会负面影响的甲方无条件处理相关事宜，相关法律责任及赔偿责任与乙方无关。</w:t>
      </w:r>
    </w:p>
    <w:p w14:paraId="057C0100">
      <w:pPr>
        <w:spacing w:line="360" w:lineRule="auto"/>
        <w:ind w:firstLine="420" w:firstLineChars="200"/>
        <w:rPr>
          <w:rFonts w:hint="eastAsia" w:ascii="宋体" w:hAnsi="宋体"/>
          <w:szCs w:val="24"/>
        </w:rPr>
      </w:pPr>
      <w:r>
        <w:rPr>
          <w:rFonts w:hint="eastAsia" w:ascii="宋体" w:hAnsi="宋体"/>
          <w:szCs w:val="24"/>
        </w:rPr>
        <w:t>（5）因医院管理及不可抗拒因素甲方有权提出终止合同。</w:t>
      </w:r>
    </w:p>
    <w:p w14:paraId="013F0DB5">
      <w:pPr>
        <w:spacing w:line="360" w:lineRule="auto"/>
        <w:ind w:firstLine="420" w:firstLineChars="200"/>
        <w:rPr>
          <w:rFonts w:hint="eastAsia" w:ascii="宋体" w:hAnsi="宋体"/>
          <w:szCs w:val="24"/>
        </w:rPr>
      </w:pPr>
      <w:r>
        <w:rPr>
          <w:rFonts w:hint="eastAsia" w:ascii="宋体" w:hAnsi="宋体"/>
          <w:szCs w:val="24"/>
        </w:rPr>
        <w:t>3.乙方有权在撤离甲方后带走自己的所有员工和自己购买的所有物品，但不得损坏甲方固件设施设备，如有损坏乙方负责复原，无法复原的，由乙方承担赔偿损失。</w:t>
      </w:r>
    </w:p>
    <w:p w14:paraId="6AFD8EC6">
      <w:pPr>
        <w:spacing w:line="360" w:lineRule="auto"/>
        <w:ind w:firstLine="420" w:firstLineChars="200"/>
        <w:rPr>
          <w:rFonts w:hint="eastAsia" w:ascii="宋体" w:hAnsi="宋体"/>
          <w:szCs w:val="24"/>
        </w:rPr>
      </w:pPr>
      <w:r>
        <w:rPr>
          <w:rFonts w:hint="eastAsia" w:ascii="宋体" w:hAnsi="宋体"/>
          <w:szCs w:val="24"/>
        </w:rPr>
        <w:t>第九条  不可抗力事件处理</w:t>
      </w:r>
    </w:p>
    <w:p w14:paraId="1C5B40B6">
      <w:pPr>
        <w:spacing w:line="360" w:lineRule="auto"/>
        <w:ind w:firstLine="420" w:firstLineChars="200"/>
        <w:rPr>
          <w:rFonts w:hint="eastAsia" w:ascii="宋体" w:hAnsi="宋体"/>
          <w:szCs w:val="24"/>
        </w:rPr>
      </w:pPr>
      <w:r>
        <w:rPr>
          <w:rFonts w:hint="eastAsia" w:ascii="宋体" w:hAnsi="宋体"/>
          <w:szCs w:val="24"/>
        </w:rPr>
        <w:t>1.在合同有效期内，任何一方因不可抗力事件导致不能履行合同，则合同履行期可延长，其延长期与不可抗力影响期相同。</w:t>
      </w:r>
    </w:p>
    <w:p w14:paraId="73CE5204">
      <w:pPr>
        <w:spacing w:line="360" w:lineRule="auto"/>
        <w:ind w:firstLine="420" w:firstLineChars="200"/>
        <w:rPr>
          <w:rFonts w:hint="eastAsia" w:ascii="宋体" w:hAnsi="宋体"/>
          <w:szCs w:val="24"/>
        </w:rPr>
      </w:pPr>
      <w:r>
        <w:rPr>
          <w:rFonts w:hint="eastAsia" w:ascii="宋体" w:hAnsi="宋体"/>
          <w:szCs w:val="24"/>
        </w:rPr>
        <w:t>2.不可抗力事件发生后，应立即通知对方，并寄送有关权威机构出具的证明。</w:t>
      </w:r>
    </w:p>
    <w:p w14:paraId="4D2D63BB">
      <w:pPr>
        <w:spacing w:line="360" w:lineRule="auto"/>
        <w:ind w:firstLine="420" w:firstLineChars="200"/>
        <w:rPr>
          <w:rFonts w:hint="eastAsia" w:ascii="宋体" w:hAnsi="宋体"/>
          <w:szCs w:val="24"/>
        </w:rPr>
      </w:pPr>
      <w:r>
        <w:rPr>
          <w:rFonts w:hint="eastAsia" w:ascii="宋体" w:hAnsi="宋体"/>
          <w:szCs w:val="24"/>
        </w:rPr>
        <w:t>3.不可抗力事件延续7天以上，双方应通过友好协商，确定是否继续履行合同。</w:t>
      </w:r>
    </w:p>
    <w:p w14:paraId="6157D592">
      <w:pPr>
        <w:spacing w:line="360" w:lineRule="auto"/>
        <w:ind w:firstLine="420" w:firstLineChars="200"/>
        <w:rPr>
          <w:rFonts w:hint="eastAsia" w:ascii="宋体" w:hAnsi="宋体"/>
          <w:szCs w:val="24"/>
        </w:rPr>
      </w:pPr>
      <w:r>
        <w:rPr>
          <w:rFonts w:hint="eastAsia" w:ascii="宋体" w:hAnsi="宋体"/>
          <w:szCs w:val="24"/>
        </w:rPr>
        <w:t>第十条  解决合同纠纷的方式</w:t>
      </w:r>
    </w:p>
    <w:p w14:paraId="01A93DAD">
      <w:pPr>
        <w:spacing w:line="360" w:lineRule="auto"/>
        <w:ind w:firstLine="420" w:firstLineChars="200"/>
        <w:rPr>
          <w:rFonts w:hint="eastAsia" w:ascii="宋体" w:hAnsi="宋体"/>
          <w:szCs w:val="24"/>
        </w:rPr>
      </w:pPr>
      <w:r>
        <w:rPr>
          <w:rFonts w:hint="eastAsia" w:ascii="宋体" w:hAnsi="宋体"/>
          <w:szCs w:val="24"/>
        </w:rPr>
        <w:t>1.在执行本合同中发生的或与本合同有关的争端，双方应通过友好协商解决，经协商在7天内不能达成协议时，双方可向甲方所在地人民法院提起诉讼。</w:t>
      </w:r>
    </w:p>
    <w:p w14:paraId="54AFBE15">
      <w:pPr>
        <w:spacing w:line="360" w:lineRule="auto"/>
        <w:ind w:firstLine="420" w:firstLineChars="200"/>
        <w:rPr>
          <w:rFonts w:hint="eastAsia" w:ascii="宋体" w:hAnsi="宋体"/>
          <w:szCs w:val="24"/>
        </w:rPr>
      </w:pPr>
      <w:r>
        <w:rPr>
          <w:rFonts w:hint="eastAsia" w:ascii="宋体" w:hAnsi="宋体"/>
          <w:szCs w:val="24"/>
        </w:rPr>
        <w:t>2.在诉讼期间，乙方不得停止服务，并应保证</w:t>
      </w:r>
      <w:r>
        <w:rPr>
          <w:rFonts w:hint="eastAsia" w:ascii="宋体" w:hAnsi="宋体"/>
          <w:szCs w:val="24"/>
          <w:lang w:val="en-US" w:eastAsia="zh-CN"/>
        </w:rPr>
        <w:t>本</w:t>
      </w:r>
      <w:r>
        <w:rPr>
          <w:rFonts w:hint="eastAsia" w:ascii="宋体" w:hAnsi="宋体"/>
          <w:szCs w:val="24"/>
        </w:rPr>
        <w:t xml:space="preserve">采购合同的继续履行执行。 </w:t>
      </w:r>
    </w:p>
    <w:p w14:paraId="751C1A39">
      <w:pPr>
        <w:spacing w:line="360" w:lineRule="auto"/>
        <w:ind w:firstLine="420" w:firstLineChars="200"/>
        <w:rPr>
          <w:rFonts w:hint="eastAsia" w:ascii="宋体" w:hAnsi="宋体"/>
          <w:szCs w:val="24"/>
        </w:rPr>
      </w:pPr>
      <w:r>
        <w:rPr>
          <w:rFonts w:hint="eastAsia" w:ascii="宋体" w:hAnsi="宋体"/>
          <w:szCs w:val="24"/>
        </w:rPr>
        <w:t>第十一条  合同生效及其他</w:t>
      </w:r>
    </w:p>
    <w:p w14:paraId="5226E5E8">
      <w:pPr>
        <w:spacing w:line="360" w:lineRule="auto"/>
        <w:ind w:firstLine="420" w:firstLineChars="200"/>
        <w:rPr>
          <w:rFonts w:hint="eastAsia" w:ascii="宋体" w:hAnsi="宋体"/>
          <w:szCs w:val="24"/>
        </w:rPr>
      </w:pPr>
      <w:r>
        <w:rPr>
          <w:rFonts w:hint="eastAsia" w:ascii="宋体" w:hAnsi="宋体"/>
          <w:szCs w:val="24"/>
        </w:rPr>
        <w:t>1.每位护理员必须进行岗前体检后方可上岗，此费用由乙方承担支付。</w:t>
      </w:r>
    </w:p>
    <w:p w14:paraId="394ED005">
      <w:pPr>
        <w:spacing w:line="360" w:lineRule="auto"/>
        <w:ind w:firstLine="420" w:firstLineChars="200"/>
        <w:rPr>
          <w:rFonts w:hint="eastAsia" w:ascii="宋体" w:hAnsi="宋体"/>
          <w:szCs w:val="24"/>
        </w:rPr>
      </w:pPr>
      <w:r>
        <w:rPr>
          <w:rFonts w:ascii="宋体" w:hAnsi="宋体"/>
          <w:szCs w:val="24"/>
        </w:rPr>
        <w:t>2</w:t>
      </w:r>
      <w:r>
        <w:rPr>
          <w:rFonts w:hint="eastAsia" w:ascii="宋体" w:hAnsi="宋体"/>
          <w:szCs w:val="24"/>
        </w:rPr>
        <w:t>.合同经双方法定代表人或授权委托代理人签字并加盖单位公章之日起生效。</w:t>
      </w:r>
    </w:p>
    <w:p w14:paraId="1F8F2862">
      <w:pPr>
        <w:spacing w:line="360" w:lineRule="auto"/>
        <w:ind w:firstLine="420" w:firstLineChars="200"/>
        <w:rPr>
          <w:rFonts w:hint="eastAsia" w:ascii="宋体" w:hAnsi="宋体"/>
          <w:szCs w:val="24"/>
        </w:rPr>
      </w:pPr>
      <w:r>
        <w:rPr>
          <w:rFonts w:ascii="宋体" w:hAnsi="宋体"/>
          <w:szCs w:val="24"/>
        </w:rPr>
        <w:t>3</w:t>
      </w:r>
      <w:r>
        <w:rPr>
          <w:rFonts w:hint="eastAsia" w:ascii="宋体" w:hAnsi="宋体"/>
          <w:szCs w:val="24"/>
        </w:rPr>
        <w:t>.合同执行中涉及采购资金和采购内容修改或补充的，须经政府采购监管部门审批，并签书面补充协议报政府采购监督管理部门备案，方可作为主合同不可分割的一部分。</w:t>
      </w:r>
    </w:p>
    <w:p w14:paraId="520D05E7">
      <w:pPr>
        <w:spacing w:line="360" w:lineRule="auto"/>
        <w:ind w:firstLine="420" w:firstLineChars="200"/>
        <w:rPr>
          <w:rFonts w:hint="eastAsia" w:ascii="宋体" w:hAnsi="宋体"/>
          <w:szCs w:val="24"/>
        </w:rPr>
      </w:pPr>
      <w:r>
        <w:rPr>
          <w:rFonts w:ascii="宋体" w:hAnsi="宋体"/>
          <w:szCs w:val="24"/>
        </w:rPr>
        <w:t>4</w:t>
      </w:r>
      <w:r>
        <w:rPr>
          <w:rFonts w:hint="eastAsia" w:ascii="宋体" w:hAnsi="宋体"/>
          <w:szCs w:val="24"/>
        </w:rPr>
        <w:t>.本合同一式6份，自双方签章之日起起效。甲方3份，乙方</w:t>
      </w:r>
      <w:r>
        <w:rPr>
          <w:rFonts w:ascii="宋体" w:hAnsi="宋体"/>
          <w:szCs w:val="24"/>
        </w:rPr>
        <w:t>2</w:t>
      </w:r>
      <w:r>
        <w:rPr>
          <w:rFonts w:hint="eastAsia" w:ascii="宋体" w:hAnsi="宋体"/>
          <w:szCs w:val="24"/>
        </w:rPr>
        <w:t>份，同级财政部门备案1份，具有同等法律效力。</w:t>
      </w:r>
    </w:p>
    <w:p w14:paraId="58A841A3">
      <w:pPr>
        <w:spacing w:line="360" w:lineRule="auto"/>
        <w:ind w:firstLine="420" w:firstLineChars="200"/>
        <w:rPr>
          <w:rFonts w:hint="eastAsia" w:ascii="宋体" w:hAnsi="宋体"/>
          <w:szCs w:val="24"/>
        </w:rPr>
      </w:pPr>
    </w:p>
    <w:p w14:paraId="49EAF86F">
      <w:pPr>
        <w:spacing w:line="360" w:lineRule="auto"/>
        <w:rPr>
          <w:rFonts w:hint="eastAsia" w:ascii="宋体" w:hAnsi="宋体"/>
          <w:szCs w:val="24"/>
        </w:rPr>
      </w:pPr>
      <w:r>
        <w:rPr>
          <w:rFonts w:hint="eastAsia" w:ascii="宋体" w:hAnsi="宋体"/>
          <w:szCs w:val="24"/>
        </w:rPr>
        <w:t xml:space="preserve">甲方：   (盖章)   </w:t>
      </w:r>
      <w:r>
        <w:rPr>
          <w:rFonts w:hint="eastAsia" w:ascii="宋体" w:hAnsi="宋体"/>
          <w:szCs w:val="24"/>
        </w:rPr>
        <w:tab/>
      </w:r>
      <w:r>
        <w:rPr>
          <w:rFonts w:hint="eastAsia" w:ascii="宋体" w:hAnsi="宋体"/>
          <w:szCs w:val="24"/>
        </w:rPr>
        <w:tab/>
      </w:r>
      <w:r>
        <w:rPr>
          <w:rFonts w:hint="eastAsia" w:ascii="宋体" w:hAnsi="宋体"/>
          <w:szCs w:val="24"/>
        </w:rPr>
        <w:tab/>
      </w:r>
      <w:r>
        <w:rPr>
          <w:rFonts w:hint="eastAsia" w:ascii="宋体" w:hAnsi="宋体"/>
          <w:szCs w:val="24"/>
        </w:rPr>
        <w:t xml:space="preserve">    乙方： </w:t>
      </w:r>
    </w:p>
    <w:p w14:paraId="56499B95">
      <w:pPr>
        <w:spacing w:line="360" w:lineRule="auto"/>
        <w:rPr>
          <w:rFonts w:hint="eastAsia" w:ascii="宋体" w:hAnsi="宋体"/>
          <w:szCs w:val="24"/>
        </w:rPr>
      </w:pPr>
      <w:r>
        <w:rPr>
          <w:rFonts w:hint="eastAsia" w:ascii="宋体" w:hAnsi="宋体"/>
          <w:szCs w:val="24"/>
        </w:rPr>
        <w:t>法定代表人(被授权人)：          法定代表人(被授权人)：</w:t>
      </w:r>
    </w:p>
    <w:p w14:paraId="60E27420">
      <w:pPr>
        <w:spacing w:line="360" w:lineRule="auto"/>
        <w:rPr>
          <w:rFonts w:hint="eastAsia" w:ascii="宋体" w:hAnsi="宋体"/>
          <w:szCs w:val="24"/>
        </w:rPr>
      </w:pPr>
      <w:r>
        <w:rPr>
          <w:rFonts w:hint="eastAsia" w:ascii="宋体" w:hAnsi="宋体"/>
          <w:szCs w:val="24"/>
        </w:rPr>
        <w:t>地址：                          地址：</w:t>
      </w:r>
    </w:p>
    <w:p w14:paraId="6A8DD706">
      <w:pPr>
        <w:spacing w:line="360" w:lineRule="auto"/>
        <w:rPr>
          <w:rFonts w:hint="eastAsia" w:ascii="宋体" w:hAnsi="宋体"/>
          <w:szCs w:val="24"/>
        </w:rPr>
      </w:pPr>
      <w:r>
        <w:rPr>
          <w:rFonts w:hint="eastAsia" w:ascii="宋体" w:hAnsi="宋体"/>
          <w:szCs w:val="24"/>
        </w:rPr>
        <w:t>开户银行：                      开户银行：</w:t>
      </w:r>
    </w:p>
    <w:p w14:paraId="5E7EF47E">
      <w:pPr>
        <w:spacing w:line="360" w:lineRule="auto"/>
        <w:rPr>
          <w:rFonts w:hint="eastAsia" w:ascii="宋体" w:hAnsi="宋体"/>
          <w:szCs w:val="24"/>
        </w:rPr>
      </w:pPr>
      <w:r>
        <w:rPr>
          <w:rFonts w:hint="eastAsia" w:ascii="宋体" w:hAnsi="宋体"/>
          <w:szCs w:val="24"/>
        </w:rPr>
        <w:t>账号：                          账号：</w:t>
      </w:r>
    </w:p>
    <w:p w14:paraId="47767484">
      <w:pPr>
        <w:spacing w:line="360" w:lineRule="auto"/>
        <w:rPr>
          <w:rFonts w:hint="eastAsia" w:ascii="宋体" w:hAnsi="宋体"/>
          <w:szCs w:val="24"/>
        </w:rPr>
      </w:pPr>
      <w:r>
        <w:rPr>
          <w:rFonts w:hint="eastAsia" w:ascii="宋体" w:hAnsi="宋体"/>
          <w:szCs w:val="24"/>
        </w:rPr>
        <w:t>电话：                          电话：</w:t>
      </w:r>
    </w:p>
    <w:p w14:paraId="2660D7A1">
      <w:pPr>
        <w:spacing w:line="360" w:lineRule="auto"/>
        <w:rPr>
          <w:rFonts w:hint="eastAsia" w:ascii="宋体" w:hAnsi="宋体"/>
          <w:szCs w:val="24"/>
        </w:rPr>
      </w:pPr>
      <w:r>
        <w:rPr>
          <w:rFonts w:hint="eastAsia" w:ascii="宋体" w:hAnsi="宋体"/>
          <w:szCs w:val="24"/>
        </w:rPr>
        <w:t xml:space="preserve">签约日期：  年  月  日 </w:t>
      </w:r>
      <w:r>
        <w:rPr>
          <w:rFonts w:hint="eastAsia" w:ascii="宋体" w:hAnsi="宋体"/>
          <w:szCs w:val="24"/>
        </w:rPr>
        <w:tab/>
      </w:r>
      <w:r>
        <w:rPr>
          <w:rFonts w:hint="eastAsia" w:ascii="宋体" w:hAnsi="宋体"/>
          <w:szCs w:val="24"/>
        </w:rPr>
        <w:tab/>
      </w:r>
      <w:r>
        <w:rPr>
          <w:rFonts w:hint="eastAsia" w:ascii="宋体" w:hAnsi="宋体"/>
          <w:szCs w:val="24"/>
        </w:rPr>
        <w:tab/>
      </w:r>
      <w:r>
        <w:rPr>
          <w:rFonts w:hint="eastAsia" w:ascii="宋体" w:hAnsi="宋体"/>
          <w:szCs w:val="24"/>
        </w:rPr>
        <w:t>签约日期：   年   月  日</w:t>
      </w:r>
    </w:p>
    <w:p w14:paraId="6C3CEFA3">
      <w:pPr>
        <w:rPr>
          <w:rFonts w:hint="eastAsia" w:ascii="宋体" w:hAnsi="宋体"/>
          <w:szCs w:val="24"/>
        </w:rPr>
      </w:pPr>
    </w:p>
    <w:p w14:paraId="78C22A3C">
      <w:pPr>
        <w:rPr>
          <w:rFonts w:hint="eastAsia" w:ascii="宋体" w:hAnsi="宋体"/>
          <w:szCs w:val="24"/>
        </w:rPr>
      </w:pPr>
    </w:p>
    <w:p w14:paraId="4BDB40E6">
      <w:pPr>
        <w:rPr>
          <w:rFonts w:hint="eastAsia" w:ascii="宋体" w:hAnsi="宋体"/>
          <w:szCs w:val="24"/>
        </w:rPr>
      </w:pPr>
    </w:p>
    <w:p w14:paraId="35559032">
      <w:pPr>
        <w:pStyle w:val="2"/>
        <w:ind w:firstLine="210"/>
        <w:rPr>
          <w:rFonts w:hint="eastAsia" w:ascii="宋体" w:hAnsi="宋体"/>
          <w:szCs w:val="24"/>
        </w:rPr>
      </w:pPr>
    </w:p>
    <w:p w14:paraId="2E89A36F">
      <w:pPr>
        <w:pStyle w:val="4"/>
      </w:pPr>
    </w:p>
    <w:p w14:paraId="714FA7EC">
      <w:pPr>
        <w:spacing w:line="500" w:lineRule="exact"/>
        <w:rPr>
          <w:rFonts w:hint="eastAsia" w:ascii="黑体" w:hAnsi="黑体" w:eastAsia="黑体"/>
          <w:sz w:val="28"/>
          <w:szCs w:val="28"/>
        </w:rPr>
      </w:pPr>
    </w:p>
    <w:p w14:paraId="17E9F755">
      <w:pPr>
        <w:spacing w:line="500" w:lineRule="exact"/>
        <w:rPr>
          <w:rFonts w:hint="eastAsia" w:ascii="黑体" w:hAnsi="黑体" w:eastAsia="黑体"/>
          <w:sz w:val="28"/>
          <w:szCs w:val="28"/>
        </w:rPr>
      </w:pPr>
    </w:p>
    <w:p w14:paraId="05C22F41">
      <w:pPr>
        <w:spacing w:line="500" w:lineRule="exact"/>
        <w:rPr>
          <w:rFonts w:hint="eastAsia" w:ascii="黑体" w:hAnsi="黑体" w:eastAsia="黑体"/>
          <w:sz w:val="28"/>
          <w:szCs w:val="28"/>
        </w:rPr>
      </w:pPr>
    </w:p>
    <w:p w14:paraId="059B8D02">
      <w:pPr>
        <w:spacing w:line="500" w:lineRule="exact"/>
        <w:rPr>
          <w:rFonts w:hint="eastAsia" w:ascii="黑体" w:hAnsi="黑体" w:eastAsia="黑体"/>
          <w:sz w:val="28"/>
          <w:szCs w:val="28"/>
        </w:rPr>
      </w:pPr>
    </w:p>
    <w:p w14:paraId="3B7D48A3">
      <w:pPr>
        <w:spacing w:line="500" w:lineRule="exact"/>
        <w:rPr>
          <w:rFonts w:hint="eastAsia" w:ascii="黑体" w:hAnsi="黑体" w:eastAsia="黑体"/>
          <w:sz w:val="28"/>
          <w:szCs w:val="28"/>
        </w:rPr>
      </w:pPr>
    </w:p>
    <w:p w14:paraId="505876EC">
      <w:pPr>
        <w:spacing w:line="500" w:lineRule="exact"/>
        <w:rPr>
          <w:rFonts w:hint="eastAsia" w:ascii="黑体" w:hAnsi="黑体" w:eastAsia="黑体"/>
          <w:sz w:val="28"/>
          <w:szCs w:val="28"/>
        </w:rPr>
      </w:pPr>
    </w:p>
    <w:p w14:paraId="74F7D61E">
      <w:pPr>
        <w:spacing w:line="500" w:lineRule="exact"/>
        <w:rPr>
          <w:rFonts w:hint="eastAsia" w:ascii="黑体" w:hAnsi="黑体" w:eastAsia="黑体"/>
          <w:sz w:val="28"/>
          <w:szCs w:val="28"/>
        </w:rPr>
      </w:pPr>
    </w:p>
    <w:p w14:paraId="7F01B482">
      <w:pPr>
        <w:jc w:val="center"/>
        <w:rPr>
          <w:rFonts w:hint="eastAsia" w:ascii="宋体" w:hAnsi="宋体"/>
          <w:b/>
          <w:sz w:val="30"/>
          <w:szCs w:val="30"/>
        </w:rPr>
      </w:pPr>
      <w:r>
        <w:rPr>
          <w:rFonts w:hint="eastAsia" w:ascii="宋体" w:hAnsi="宋体"/>
          <w:b/>
          <w:sz w:val="30"/>
          <w:szCs w:val="30"/>
        </w:rPr>
        <w:t>第六章　投标文件格式</w:t>
      </w:r>
      <w:bookmarkEnd w:id="12"/>
    </w:p>
    <w:p w14:paraId="7F76DEFA">
      <w:pPr>
        <w:snapToGrid w:val="0"/>
        <w:spacing w:before="156" w:beforeLines="50" w:after="50" w:line="360" w:lineRule="auto"/>
        <w:rPr>
          <w:rFonts w:hint="eastAsia" w:ascii="宋体" w:hAnsi="宋体"/>
          <w:b/>
          <w:sz w:val="24"/>
        </w:rPr>
      </w:pPr>
    </w:p>
    <w:p w14:paraId="0E55117D">
      <w:pPr>
        <w:snapToGrid w:val="0"/>
        <w:spacing w:before="156" w:beforeLines="50" w:after="50" w:line="360" w:lineRule="auto"/>
        <w:rPr>
          <w:rFonts w:hint="eastAsia" w:ascii="宋体" w:hAnsi="宋体"/>
          <w:b/>
          <w:bCs/>
          <w:sz w:val="24"/>
          <w:szCs w:val="20"/>
        </w:rPr>
      </w:pPr>
      <w:r>
        <w:rPr>
          <w:rFonts w:hint="eastAsia" w:ascii="宋体" w:hAnsi="宋体"/>
          <w:b/>
          <w:sz w:val="24"/>
        </w:rPr>
        <w:t>1. 投标</w:t>
      </w:r>
      <w:r>
        <w:rPr>
          <w:rFonts w:hint="eastAsia" w:ascii="宋体" w:hAnsi="宋体"/>
          <w:b/>
          <w:bCs/>
          <w:sz w:val="24"/>
        </w:rPr>
        <w:t>文件的外包装封面格式</w:t>
      </w:r>
    </w:p>
    <w:p w14:paraId="708C94D7">
      <w:pPr>
        <w:snapToGrid w:val="0"/>
        <w:spacing w:before="156" w:beforeLines="50" w:after="50" w:line="360" w:lineRule="auto"/>
        <w:rPr>
          <w:rFonts w:hint="eastAsia" w:ascii="宋体" w:hAnsi="宋体"/>
          <w:bCs/>
          <w:sz w:val="24"/>
          <w:szCs w:val="20"/>
        </w:rPr>
      </w:pPr>
    </w:p>
    <w:p w14:paraId="5C36F14B">
      <w:pPr>
        <w:snapToGrid w:val="0"/>
        <w:spacing w:before="156" w:beforeLines="50" w:after="50" w:line="360" w:lineRule="auto"/>
        <w:jc w:val="center"/>
        <w:rPr>
          <w:rFonts w:hint="eastAsia" w:ascii="宋体" w:hAnsi="宋体"/>
          <w:b/>
          <w:bCs/>
          <w:sz w:val="52"/>
          <w:szCs w:val="52"/>
        </w:rPr>
      </w:pPr>
      <w:r>
        <w:rPr>
          <w:rFonts w:hint="eastAsia" w:ascii="宋体" w:hAnsi="宋体"/>
          <w:b/>
          <w:bCs/>
          <w:sz w:val="52"/>
          <w:szCs w:val="52"/>
        </w:rPr>
        <w:t>投标文件</w:t>
      </w:r>
    </w:p>
    <w:p w14:paraId="42D3A762">
      <w:pPr>
        <w:snapToGrid w:val="0"/>
        <w:spacing w:before="156" w:beforeLines="50" w:after="50" w:line="360" w:lineRule="auto"/>
        <w:rPr>
          <w:rFonts w:hint="eastAsia" w:ascii="宋体" w:hAnsi="宋体"/>
          <w:bCs/>
          <w:sz w:val="24"/>
          <w:szCs w:val="20"/>
        </w:rPr>
      </w:pPr>
    </w:p>
    <w:p w14:paraId="4CC92BF9">
      <w:pPr>
        <w:snapToGrid w:val="0"/>
        <w:spacing w:before="156" w:beforeLines="50" w:after="50" w:line="360" w:lineRule="auto"/>
        <w:ind w:firstLine="1246" w:firstLineChars="445"/>
        <w:rPr>
          <w:rFonts w:hint="eastAsia" w:ascii="宋体" w:hAnsi="宋体"/>
          <w:bCs/>
          <w:sz w:val="28"/>
          <w:szCs w:val="28"/>
        </w:rPr>
      </w:pPr>
      <w:r>
        <w:rPr>
          <w:rFonts w:hint="eastAsia" w:ascii="宋体" w:hAnsi="宋体"/>
          <w:bCs/>
          <w:sz w:val="28"/>
          <w:szCs w:val="28"/>
        </w:rPr>
        <w:t>项目名称：</w:t>
      </w:r>
    </w:p>
    <w:p w14:paraId="5CA8D356">
      <w:pPr>
        <w:snapToGrid w:val="0"/>
        <w:spacing w:before="156" w:beforeLines="50" w:after="50" w:line="360" w:lineRule="auto"/>
        <w:ind w:firstLine="560" w:firstLineChars="200"/>
        <w:rPr>
          <w:rFonts w:hint="eastAsia" w:ascii="宋体" w:hAnsi="宋体"/>
          <w:bCs/>
          <w:sz w:val="28"/>
          <w:szCs w:val="28"/>
        </w:rPr>
      </w:pPr>
      <w:r>
        <w:rPr>
          <w:rFonts w:hint="eastAsia" w:ascii="宋体" w:hAnsi="宋体"/>
          <w:bCs/>
          <w:sz w:val="28"/>
          <w:szCs w:val="28"/>
        </w:rPr>
        <w:t xml:space="preserve">     项目编号：</w:t>
      </w:r>
    </w:p>
    <w:p w14:paraId="53C068F3">
      <w:pPr>
        <w:snapToGrid w:val="0"/>
        <w:spacing w:before="156" w:beforeLines="50" w:after="50" w:line="360" w:lineRule="auto"/>
        <w:ind w:firstLine="560" w:firstLineChars="200"/>
        <w:rPr>
          <w:rFonts w:hint="eastAsia" w:ascii="宋体" w:hAnsi="宋体"/>
          <w:bCs/>
          <w:sz w:val="28"/>
          <w:szCs w:val="28"/>
        </w:rPr>
      </w:pPr>
      <w:r>
        <w:rPr>
          <w:rFonts w:hint="eastAsia" w:ascii="宋体" w:hAnsi="宋体"/>
          <w:bCs/>
          <w:sz w:val="28"/>
          <w:szCs w:val="28"/>
        </w:rPr>
        <w:t xml:space="preserve">     招标内容：</w:t>
      </w:r>
    </w:p>
    <w:p w14:paraId="178722E6">
      <w:pPr>
        <w:snapToGrid w:val="0"/>
        <w:spacing w:before="156" w:beforeLines="50" w:after="50" w:line="360" w:lineRule="auto"/>
        <w:ind w:firstLine="1260" w:firstLineChars="450"/>
        <w:rPr>
          <w:rFonts w:hint="eastAsia" w:ascii="宋体" w:hAnsi="宋体"/>
          <w:bCs/>
          <w:sz w:val="28"/>
          <w:szCs w:val="28"/>
        </w:rPr>
      </w:pPr>
      <w:r>
        <w:rPr>
          <w:rFonts w:hint="eastAsia" w:ascii="宋体" w:hAnsi="宋体"/>
          <w:bCs/>
          <w:sz w:val="28"/>
          <w:szCs w:val="28"/>
        </w:rPr>
        <w:t>标项内容：</w:t>
      </w:r>
    </w:p>
    <w:p w14:paraId="36528542">
      <w:pPr>
        <w:pStyle w:val="11"/>
        <w:snapToGrid w:val="0"/>
        <w:spacing w:before="50" w:after="50" w:line="360" w:lineRule="auto"/>
        <w:ind w:firstLine="1260" w:firstLineChars="450"/>
        <w:rPr>
          <w:rFonts w:hint="eastAsia" w:ascii="宋体" w:hAnsi="宋体"/>
          <w:bCs/>
          <w:sz w:val="28"/>
          <w:szCs w:val="28"/>
        </w:rPr>
      </w:pPr>
    </w:p>
    <w:p w14:paraId="16CEF531">
      <w:pPr>
        <w:pStyle w:val="11"/>
        <w:snapToGrid w:val="0"/>
        <w:spacing w:before="50" w:after="50" w:line="360" w:lineRule="auto"/>
        <w:ind w:firstLine="1260" w:firstLineChars="450"/>
        <w:rPr>
          <w:rFonts w:hint="eastAsia" w:ascii="宋体" w:hAnsi="宋体"/>
          <w:bCs/>
          <w:sz w:val="28"/>
          <w:szCs w:val="28"/>
        </w:rPr>
      </w:pPr>
    </w:p>
    <w:p w14:paraId="1CA125D4">
      <w:pPr>
        <w:pStyle w:val="11"/>
        <w:snapToGrid w:val="0"/>
        <w:spacing w:before="50" w:after="50" w:line="360" w:lineRule="auto"/>
        <w:ind w:firstLine="1260" w:firstLineChars="450"/>
        <w:rPr>
          <w:rFonts w:hint="eastAsia" w:ascii="宋体" w:hAnsi="宋体"/>
          <w:bCs/>
          <w:sz w:val="28"/>
          <w:szCs w:val="28"/>
        </w:rPr>
      </w:pPr>
    </w:p>
    <w:p w14:paraId="6D35055D">
      <w:pPr>
        <w:pStyle w:val="11"/>
        <w:snapToGrid w:val="0"/>
        <w:spacing w:before="50" w:after="50" w:line="360" w:lineRule="auto"/>
        <w:ind w:firstLine="1260" w:firstLineChars="450"/>
        <w:rPr>
          <w:rFonts w:hint="eastAsia" w:ascii="宋体" w:hAnsi="宋体"/>
          <w:bCs/>
          <w:sz w:val="28"/>
          <w:szCs w:val="28"/>
        </w:rPr>
      </w:pPr>
      <w:r>
        <w:rPr>
          <w:rFonts w:hint="eastAsia" w:ascii="宋体" w:hAnsi="宋体"/>
          <w:bCs/>
          <w:sz w:val="28"/>
          <w:szCs w:val="28"/>
        </w:rPr>
        <w:t>供应商名称：（盖章）</w:t>
      </w:r>
    </w:p>
    <w:p w14:paraId="261BA857">
      <w:pPr>
        <w:pStyle w:val="11"/>
        <w:snapToGrid w:val="0"/>
        <w:spacing w:before="50" w:after="50" w:line="360" w:lineRule="auto"/>
        <w:ind w:firstLine="1260" w:firstLineChars="450"/>
        <w:rPr>
          <w:rFonts w:hint="eastAsia" w:ascii="宋体" w:hAnsi="宋体"/>
          <w:bCs/>
          <w:sz w:val="28"/>
          <w:szCs w:val="28"/>
        </w:rPr>
      </w:pPr>
      <w:r>
        <w:rPr>
          <w:rFonts w:hint="eastAsia" w:ascii="宋体" w:hAnsi="宋体"/>
          <w:bCs/>
          <w:sz w:val="28"/>
          <w:szCs w:val="28"/>
        </w:rPr>
        <w:t>供应商地址：</w:t>
      </w:r>
    </w:p>
    <w:p w14:paraId="0E15C649">
      <w:pPr>
        <w:pStyle w:val="11"/>
        <w:snapToGrid w:val="0"/>
        <w:spacing w:before="50" w:after="50" w:line="360" w:lineRule="auto"/>
        <w:ind w:firstLine="1260" w:firstLineChars="450"/>
        <w:rPr>
          <w:rFonts w:hint="eastAsia" w:ascii="宋体" w:hAnsi="宋体"/>
          <w:bCs/>
          <w:sz w:val="28"/>
          <w:szCs w:val="28"/>
        </w:rPr>
      </w:pPr>
      <w:r>
        <w:rPr>
          <w:rFonts w:hint="eastAsia" w:ascii="宋体" w:hAnsi="宋体"/>
          <w:bCs/>
          <w:sz w:val="28"/>
          <w:szCs w:val="28"/>
        </w:rPr>
        <w:t xml:space="preserve">  在   年   月   日时分之前不得启封</w:t>
      </w:r>
    </w:p>
    <w:p w14:paraId="7464863B">
      <w:pPr>
        <w:pStyle w:val="11"/>
        <w:snapToGrid w:val="0"/>
        <w:spacing w:before="50" w:after="50" w:line="360" w:lineRule="auto"/>
        <w:ind w:firstLine="1164" w:firstLineChars="416"/>
        <w:rPr>
          <w:rFonts w:hint="eastAsia" w:ascii="宋体" w:hAnsi="宋体"/>
          <w:sz w:val="28"/>
          <w:szCs w:val="28"/>
        </w:rPr>
      </w:pPr>
    </w:p>
    <w:p w14:paraId="4F7E699D">
      <w:pPr>
        <w:snapToGrid w:val="0"/>
        <w:spacing w:before="156" w:beforeLines="50" w:after="50" w:line="360" w:lineRule="auto"/>
        <w:ind w:firstLine="645"/>
        <w:rPr>
          <w:rFonts w:hint="eastAsia" w:ascii="宋体" w:hAnsi="宋体"/>
          <w:sz w:val="28"/>
          <w:szCs w:val="28"/>
        </w:rPr>
      </w:pPr>
      <w:r>
        <w:rPr>
          <w:rFonts w:hint="eastAsia" w:ascii="宋体" w:hAnsi="宋体"/>
          <w:sz w:val="28"/>
          <w:szCs w:val="28"/>
        </w:rPr>
        <w:t xml:space="preserve">            年   月   日</w:t>
      </w:r>
    </w:p>
    <w:p w14:paraId="3FA68054">
      <w:pPr>
        <w:snapToGrid w:val="0"/>
        <w:spacing w:before="156" w:beforeLines="50" w:after="50" w:line="360" w:lineRule="auto"/>
        <w:ind w:firstLine="645"/>
        <w:rPr>
          <w:rFonts w:hint="eastAsia" w:ascii="宋体" w:hAnsi="宋体"/>
          <w:sz w:val="28"/>
          <w:szCs w:val="28"/>
        </w:rPr>
      </w:pPr>
    </w:p>
    <w:p w14:paraId="7195FD9D">
      <w:pPr>
        <w:snapToGrid w:val="0"/>
        <w:spacing w:before="156" w:beforeLines="50" w:after="50" w:line="360" w:lineRule="auto"/>
        <w:ind w:firstLine="645"/>
        <w:rPr>
          <w:rFonts w:hint="eastAsia" w:ascii="宋体" w:hAnsi="宋体"/>
          <w:sz w:val="24"/>
          <w:szCs w:val="20"/>
        </w:rPr>
      </w:pPr>
    </w:p>
    <w:p w14:paraId="222F6DD8">
      <w:pPr>
        <w:snapToGrid w:val="0"/>
        <w:spacing w:before="156" w:beforeLines="50" w:after="50" w:line="360" w:lineRule="auto"/>
        <w:ind w:firstLine="645"/>
        <w:rPr>
          <w:rFonts w:hint="eastAsia" w:ascii="宋体" w:hAnsi="宋体"/>
          <w:sz w:val="24"/>
          <w:szCs w:val="20"/>
        </w:rPr>
      </w:pPr>
    </w:p>
    <w:p w14:paraId="1095AA0C">
      <w:pPr>
        <w:snapToGrid w:val="0"/>
        <w:spacing w:before="156" w:beforeLines="50" w:after="50" w:line="360" w:lineRule="auto"/>
        <w:ind w:firstLine="645"/>
        <w:rPr>
          <w:rFonts w:hint="eastAsia" w:ascii="宋体" w:hAnsi="宋体"/>
          <w:sz w:val="24"/>
          <w:szCs w:val="20"/>
        </w:rPr>
      </w:pPr>
    </w:p>
    <w:p w14:paraId="58A95923">
      <w:pPr>
        <w:snapToGrid w:val="0"/>
        <w:spacing w:before="156" w:beforeLines="50" w:line="360" w:lineRule="auto"/>
        <w:jc w:val="left"/>
        <w:rPr>
          <w:rFonts w:hint="eastAsia" w:ascii="宋体" w:hAnsi="宋体"/>
          <w:b/>
          <w:sz w:val="24"/>
        </w:rPr>
      </w:pPr>
      <w:r>
        <w:rPr>
          <w:rFonts w:hint="eastAsia" w:ascii="宋体" w:hAnsi="宋体"/>
          <w:b/>
          <w:sz w:val="24"/>
        </w:rPr>
        <w:t>2.资格证明</w:t>
      </w:r>
      <w:r>
        <w:rPr>
          <w:rFonts w:ascii="宋体" w:hAnsi="宋体"/>
          <w:b/>
          <w:sz w:val="24"/>
        </w:rPr>
        <w:t>文件：</w:t>
      </w:r>
    </w:p>
    <w:p w14:paraId="73CD7831">
      <w:pPr>
        <w:snapToGrid w:val="0"/>
        <w:spacing w:before="156" w:beforeLines="50" w:line="360" w:lineRule="auto"/>
        <w:jc w:val="left"/>
        <w:rPr>
          <w:rFonts w:hint="eastAsia" w:ascii="宋体" w:hAnsi="宋体"/>
          <w:b/>
          <w:sz w:val="24"/>
        </w:rPr>
      </w:pPr>
    </w:p>
    <w:p w14:paraId="2C88DFE5">
      <w:pPr>
        <w:snapToGrid w:val="0"/>
        <w:spacing w:line="360" w:lineRule="auto"/>
        <w:ind w:firstLine="551" w:firstLineChars="196"/>
        <w:jc w:val="left"/>
        <w:rPr>
          <w:b/>
          <w:bCs/>
          <w:sz w:val="28"/>
          <w:szCs w:val="28"/>
        </w:rPr>
      </w:pPr>
      <w:r>
        <w:rPr>
          <w:rFonts w:ascii="Arial" w:hAnsi="Arial" w:cs="Arial"/>
          <w:b/>
          <w:bCs/>
          <w:sz w:val="28"/>
          <w:szCs w:val="28"/>
        </w:rPr>
        <w:t>▲</w:t>
      </w:r>
      <w:r>
        <w:rPr>
          <w:b/>
          <w:bCs/>
          <w:sz w:val="28"/>
          <w:szCs w:val="28"/>
        </w:rPr>
        <w:t>（1）法人或者其他组织的营业执照等证明文件复印件，自然人的身份证复印件；</w:t>
      </w:r>
    </w:p>
    <w:p w14:paraId="1A0223D8">
      <w:pPr>
        <w:snapToGrid w:val="0"/>
        <w:spacing w:line="360" w:lineRule="auto"/>
        <w:ind w:firstLine="551" w:firstLineChars="196"/>
        <w:jc w:val="left"/>
        <w:rPr>
          <w:b/>
          <w:bCs/>
          <w:sz w:val="28"/>
          <w:szCs w:val="28"/>
        </w:rPr>
      </w:pPr>
    </w:p>
    <w:p w14:paraId="5F25CC2A">
      <w:pPr>
        <w:snapToGrid w:val="0"/>
        <w:spacing w:line="360" w:lineRule="auto"/>
        <w:ind w:firstLine="551" w:firstLineChars="196"/>
        <w:jc w:val="left"/>
        <w:rPr>
          <w:b/>
          <w:bCs/>
          <w:sz w:val="28"/>
          <w:szCs w:val="28"/>
        </w:rPr>
      </w:pPr>
      <w:r>
        <w:rPr>
          <w:rFonts w:ascii="Arial" w:hAnsi="Arial" w:cs="Arial"/>
          <w:b/>
          <w:bCs/>
          <w:sz w:val="28"/>
          <w:szCs w:val="28"/>
        </w:rPr>
        <w:t>▲</w:t>
      </w:r>
      <w:r>
        <w:rPr>
          <w:b/>
          <w:bCs/>
          <w:sz w:val="28"/>
          <w:szCs w:val="28"/>
        </w:rPr>
        <w:t>（</w:t>
      </w:r>
      <w:r>
        <w:rPr>
          <w:rFonts w:hint="eastAsia"/>
          <w:b/>
          <w:bCs/>
          <w:sz w:val="28"/>
          <w:szCs w:val="28"/>
        </w:rPr>
        <w:t>2</w:t>
      </w:r>
      <w:r>
        <w:rPr>
          <w:b/>
          <w:bCs/>
          <w:sz w:val="28"/>
          <w:szCs w:val="28"/>
        </w:rPr>
        <w:t>）具备履行合同所必需的设备和专业技术能力的证明材料：须提供相关证明（说明）材料，内容自拟，证明材料可以是：资产或存款证明、采购设备发票、代理证明、以往同类项目实施案例、投标人为其缴纳社保的人员资质等</w:t>
      </w:r>
      <w:r>
        <w:rPr>
          <w:rFonts w:hint="eastAsia"/>
          <w:b/>
          <w:bCs/>
          <w:sz w:val="28"/>
          <w:szCs w:val="28"/>
        </w:rPr>
        <w:t>；</w:t>
      </w:r>
    </w:p>
    <w:p w14:paraId="48165806">
      <w:pPr>
        <w:snapToGrid w:val="0"/>
        <w:spacing w:line="360" w:lineRule="auto"/>
        <w:ind w:firstLine="551" w:firstLineChars="196"/>
        <w:jc w:val="left"/>
        <w:rPr>
          <w:b/>
          <w:bCs/>
          <w:sz w:val="28"/>
          <w:szCs w:val="28"/>
        </w:rPr>
      </w:pPr>
    </w:p>
    <w:p w14:paraId="1C3BC62F">
      <w:pPr>
        <w:snapToGrid w:val="0"/>
        <w:spacing w:before="50" w:after="156" w:afterLines="50" w:line="360" w:lineRule="auto"/>
        <w:jc w:val="left"/>
        <w:rPr>
          <w:rFonts w:hint="eastAsia" w:ascii="宋体" w:hAnsi="宋体"/>
          <w:b/>
          <w:sz w:val="24"/>
          <w:szCs w:val="20"/>
        </w:rPr>
      </w:pPr>
      <w:r>
        <w:rPr>
          <w:rFonts w:ascii="宋体" w:hAnsi="宋体"/>
          <w:sz w:val="24"/>
        </w:rPr>
        <w:br w:type="page"/>
      </w:r>
      <w:r>
        <w:rPr>
          <w:rFonts w:hint="eastAsia" w:ascii="宋体" w:hAnsi="宋体"/>
          <w:b/>
          <w:sz w:val="24"/>
        </w:rPr>
        <w:t>3.投标声明书格式</w:t>
      </w:r>
    </w:p>
    <w:p w14:paraId="3C2EB10C">
      <w:pPr>
        <w:snapToGrid w:val="0"/>
        <w:spacing w:before="156" w:beforeLines="50" w:after="50" w:line="360" w:lineRule="auto"/>
        <w:jc w:val="center"/>
        <w:rPr>
          <w:rFonts w:hint="eastAsia" w:ascii="宋体" w:hAnsi="宋体"/>
          <w:b/>
          <w:sz w:val="24"/>
          <w:szCs w:val="20"/>
        </w:rPr>
      </w:pPr>
      <w:r>
        <w:rPr>
          <w:rFonts w:hint="eastAsia" w:ascii="宋体" w:hAnsi="宋体"/>
          <w:b/>
          <w:sz w:val="30"/>
        </w:rPr>
        <w:t>投标声明书</w:t>
      </w:r>
    </w:p>
    <w:p w14:paraId="664AE722">
      <w:pPr>
        <w:snapToGrid w:val="0"/>
        <w:spacing w:before="156" w:beforeLines="50" w:after="50" w:line="360" w:lineRule="auto"/>
        <w:rPr>
          <w:rFonts w:hint="eastAsia" w:ascii="宋体" w:hAnsi="宋体"/>
          <w:sz w:val="24"/>
          <w:szCs w:val="20"/>
        </w:rPr>
      </w:pPr>
      <w:r>
        <w:rPr>
          <w:rFonts w:hint="eastAsia" w:ascii="宋体" w:hAnsi="宋体"/>
          <w:sz w:val="24"/>
        </w:rPr>
        <w:t>致  ：</w:t>
      </w:r>
    </w:p>
    <w:p w14:paraId="6291F205">
      <w:pPr>
        <w:snapToGrid w:val="0"/>
        <w:spacing w:before="156" w:beforeLines="50" w:after="50" w:line="360" w:lineRule="auto"/>
        <w:ind w:firstLine="720" w:firstLineChars="300"/>
        <w:rPr>
          <w:sz w:val="24"/>
          <w:szCs w:val="20"/>
        </w:rPr>
      </w:pPr>
      <w:r>
        <w:rPr>
          <w:sz w:val="24"/>
        </w:rPr>
        <w:t>（投标人名称）系中华人民共和国合法企业，经营地址。</w:t>
      </w:r>
    </w:p>
    <w:p w14:paraId="13FE8E86">
      <w:pPr>
        <w:snapToGrid w:val="0"/>
        <w:spacing w:before="156" w:beforeLines="50" w:after="50" w:line="360" w:lineRule="auto"/>
        <w:ind w:firstLine="645"/>
        <w:rPr>
          <w:sz w:val="24"/>
          <w:szCs w:val="20"/>
        </w:rPr>
      </w:pPr>
      <w:r>
        <w:rPr>
          <w:sz w:val="24"/>
        </w:rPr>
        <w:t>我（姓名）系（投标人名称）的法定代表人/授权委托人，我方愿意参加贵方组织的（项目编号：）项目的投标，提交</w:t>
      </w:r>
      <w:r>
        <w:rPr>
          <w:rFonts w:hint="eastAsia"/>
          <w:sz w:val="24"/>
        </w:rPr>
        <w:t>投标</w:t>
      </w:r>
      <w:r>
        <w:rPr>
          <w:sz w:val="24"/>
        </w:rPr>
        <w:t>文件正本</w:t>
      </w:r>
      <w:r>
        <w:rPr>
          <w:rFonts w:hint="eastAsia"/>
          <w:sz w:val="24"/>
          <w:u w:val="single"/>
        </w:rPr>
        <w:t>1</w:t>
      </w:r>
      <w:r>
        <w:rPr>
          <w:sz w:val="24"/>
        </w:rPr>
        <w:t>份、副本</w:t>
      </w:r>
      <w:r>
        <w:rPr>
          <w:rFonts w:hint="eastAsia"/>
          <w:sz w:val="24"/>
          <w:u w:val="single"/>
        </w:rPr>
        <w:t>2</w:t>
      </w:r>
      <w:r>
        <w:rPr>
          <w:sz w:val="24"/>
        </w:rPr>
        <w:t>份。为便于贵方公正、择优地确定中标人及其投标产品和服务，我方就本次投标有关事项郑重声明如下：</w:t>
      </w:r>
    </w:p>
    <w:p w14:paraId="27AE62F4">
      <w:pPr>
        <w:snapToGrid w:val="0"/>
        <w:spacing w:line="360" w:lineRule="auto"/>
        <w:ind w:firstLine="480" w:firstLineChars="200"/>
        <w:rPr>
          <w:sz w:val="24"/>
        </w:rPr>
      </w:pPr>
      <w:r>
        <w:rPr>
          <w:sz w:val="24"/>
        </w:rPr>
        <w:t>1.投标人已详细审查全部“招标文件”，包括修改、澄清文件（如有的话）以及全部参考资料和有关附件，已经了解我方对于招标文件、采购过程、采购结果有依法进行询问、质疑、投诉的权利及相关渠道和要求。</w:t>
      </w:r>
    </w:p>
    <w:p w14:paraId="6816EDED">
      <w:pPr>
        <w:snapToGrid w:val="0"/>
        <w:spacing w:line="360" w:lineRule="auto"/>
        <w:ind w:firstLine="480" w:firstLineChars="200"/>
        <w:rPr>
          <w:sz w:val="24"/>
        </w:rPr>
      </w:pPr>
      <w:r>
        <w:rPr>
          <w:sz w:val="24"/>
        </w:rPr>
        <w:t>2.投标人在投标之前已经与贵方进行了充分的沟通，完全理解并接受招标文件的各项规定和要求，对招标文件的合理性、合法性不再有异议。</w:t>
      </w:r>
    </w:p>
    <w:p w14:paraId="52B27B48">
      <w:pPr>
        <w:snapToGrid w:val="0"/>
        <w:spacing w:line="360" w:lineRule="auto"/>
        <w:ind w:firstLine="480" w:firstLineChars="200"/>
        <w:rPr>
          <w:sz w:val="24"/>
          <w:szCs w:val="20"/>
        </w:rPr>
      </w:pPr>
      <w:r>
        <w:rPr>
          <w:sz w:val="24"/>
        </w:rPr>
        <w:t>3.本投标有效期自开标日起</w:t>
      </w:r>
      <w:r>
        <w:rPr>
          <w:sz w:val="24"/>
          <w:u w:val="single"/>
        </w:rPr>
        <w:t>90</w:t>
      </w:r>
      <w:r>
        <w:rPr>
          <w:sz w:val="24"/>
        </w:rPr>
        <w:t>日。</w:t>
      </w:r>
    </w:p>
    <w:p w14:paraId="24305F5C">
      <w:pPr>
        <w:snapToGrid w:val="0"/>
        <w:spacing w:line="360" w:lineRule="auto"/>
        <w:ind w:firstLine="480" w:firstLineChars="200"/>
        <w:rPr>
          <w:sz w:val="24"/>
          <w:szCs w:val="20"/>
        </w:rPr>
      </w:pPr>
      <w:r>
        <w:rPr>
          <w:sz w:val="24"/>
        </w:rPr>
        <w:t>4.如中标，本投标文件至本项目合同履行完毕止均保持有效，本投标人将按“招标文件”及政府采购法律、法规的规定履行合同责任和义务。</w:t>
      </w:r>
    </w:p>
    <w:p w14:paraId="6EC71CF8">
      <w:pPr>
        <w:snapToGrid w:val="0"/>
        <w:spacing w:line="360" w:lineRule="auto"/>
        <w:ind w:firstLine="480" w:firstLineChars="200"/>
        <w:rPr>
          <w:sz w:val="24"/>
          <w:szCs w:val="20"/>
        </w:rPr>
      </w:pPr>
      <w:r>
        <w:rPr>
          <w:sz w:val="24"/>
        </w:rPr>
        <w:t>5.投标人同意按照贵方要求提供与投标有关的一切数据或资料。</w:t>
      </w:r>
    </w:p>
    <w:p w14:paraId="67AF3A0C">
      <w:pPr>
        <w:snapToGrid w:val="0"/>
        <w:spacing w:line="360" w:lineRule="auto"/>
        <w:ind w:firstLine="480" w:firstLineChars="200"/>
        <w:rPr>
          <w:sz w:val="24"/>
          <w:szCs w:val="20"/>
        </w:rPr>
      </w:pPr>
      <w:r>
        <w:rPr>
          <w:sz w:val="24"/>
        </w:rPr>
        <w:t>6.我方向贵方提交的所有投标文件、资料都是准确的和真实的。</w:t>
      </w:r>
    </w:p>
    <w:p w14:paraId="4852C430">
      <w:pPr>
        <w:snapToGrid w:val="0"/>
        <w:spacing w:before="156" w:beforeLines="50" w:line="360" w:lineRule="auto"/>
        <w:ind w:firstLine="480" w:firstLineChars="200"/>
        <w:rPr>
          <w:sz w:val="24"/>
          <w:szCs w:val="20"/>
        </w:rPr>
      </w:pPr>
      <w:r>
        <w:rPr>
          <w:sz w:val="24"/>
        </w:rPr>
        <w:t>7.我方不是采购人的附属机构；在获知本项目采购信息后，与采购人聘请的为此项目提供咨询服务的公司及其附属机构没有任何联系。</w:t>
      </w:r>
    </w:p>
    <w:p w14:paraId="2A3D3982">
      <w:pPr>
        <w:snapToGrid w:val="0"/>
        <w:spacing w:before="156" w:beforeLines="50" w:line="360" w:lineRule="auto"/>
        <w:ind w:firstLine="480" w:firstLineChars="200"/>
        <w:rPr>
          <w:sz w:val="24"/>
        </w:rPr>
      </w:pPr>
      <w:r>
        <w:rPr>
          <w:sz w:val="24"/>
        </w:rPr>
        <w:t>8.在参加本项目前三年内没有因违法经营受到刑事处罚或者责令停产停业、吊销许可证或者执照、较大数额罚款等行政处罚或处罚。</w:t>
      </w:r>
    </w:p>
    <w:p w14:paraId="09D4026D">
      <w:pPr>
        <w:snapToGrid w:val="0"/>
        <w:spacing w:before="156" w:beforeLines="50"/>
        <w:ind w:firstLine="480" w:firstLineChars="200"/>
        <w:rPr>
          <w:sz w:val="24"/>
          <w:u w:val="single"/>
        </w:rPr>
      </w:pPr>
      <w:r>
        <w:rPr>
          <w:sz w:val="24"/>
          <w:u w:val="single"/>
        </w:rPr>
        <w:t>　如有，说明具体情况，否则删除本行　　</w:t>
      </w:r>
    </w:p>
    <w:p w14:paraId="256DCD0A">
      <w:pPr>
        <w:snapToGrid w:val="0"/>
        <w:spacing w:before="156" w:beforeLines="50" w:line="360" w:lineRule="auto"/>
        <w:ind w:firstLine="480" w:firstLineChars="200"/>
        <w:rPr>
          <w:sz w:val="24"/>
        </w:rPr>
      </w:pPr>
      <w:r>
        <w:rPr>
          <w:sz w:val="24"/>
        </w:rPr>
        <w:t>9.在投标截止前未被“信用中国”网站(www.creditchina.gov.cn)列入失信被执行人、重大税收违法案件当事人名单；未被“中国政府采购网”(www.ccgp.gov.cn)列入政府采购严重违法失信行为记录名单。</w:t>
      </w:r>
    </w:p>
    <w:p w14:paraId="005FD061">
      <w:pPr>
        <w:snapToGrid w:val="0"/>
        <w:spacing w:before="156" w:beforeLines="50"/>
        <w:ind w:firstLine="480" w:firstLineChars="200"/>
        <w:rPr>
          <w:sz w:val="24"/>
          <w:u w:val="single"/>
        </w:rPr>
      </w:pPr>
      <w:r>
        <w:rPr>
          <w:sz w:val="24"/>
          <w:u w:val="single"/>
        </w:rPr>
        <w:t>　如被列入，说明具体情况，否则删除本行　　</w:t>
      </w:r>
    </w:p>
    <w:p w14:paraId="76C9C13F">
      <w:pPr>
        <w:snapToGrid w:val="0"/>
        <w:spacing w:line="360" w:lineRule="auto"/>
        <w:ind w:firstLine="480" w:firstLineChars="200"/>
        <w:rPr>
          <w:sz w:val="24"/>
          <w:szCs w:val="20"/>
        </w:rPr>
      </w:pPr>
      <w:r>
        <w:rPr>
          <w:sz w:val="24"/>
        </w:rPr>
        <w:t>10.以上事项如有虚假或隐瞒，我方愿意承担一切后果，并不再寻求任何旨在减轻或免除法律责任的辩解。</w:t>
      </w:r>
    </w:p>
    <w:p w14:paraId="35078DF1">
      <w:pPr>
        <w:snapToGrid w:val="0"/>
        <w:spacing w:line="360" w:lineRule="auto"/>
        <w:ind w:firstLine="480" w:firstLineChars="200"/>
        <w:rPr>
          <w:sz w:val="24"/>
          <w:szCs w:val="20"/>
        </w:rPr>
      </w:pPr>
      <w:r>
        <w:rPr>
          <w:sz w:val="24"/>
        </w:rPr>
        <w:t>11.本投标有关的一切正式往来信函请寄：</w:t>
      </w:r>
    </w:p>
    <w:p w14:paraId="7DDD28BE">
      <w:pPr>
        <w:snapToGrid w:val="0"/>
        <w:spacing w:line="360" w:lineRule="auto"/>
        <w:rPr>
          <w:sz w:val="24"/>
        </w:rPr>
      </w:pPr>
    </w:p>
    <w:p w14:paraId="28710B31">
      <w:pPr>
        <w:snapToGrid w:val="0"/>
        <w:spacing w:line="360" w:lineRule="auto"/>
        <w:rPr>
          <w:sz w:val="24"/>
          <w:szCs w:val="20"/>
        </w:rPr>
      </w:pPr>
      <w:r>
        <w:rPr>
          <w:sz w:val="24"/>
        </w:rPr>
        <w:t>地址：邮编：   电话：</w:t>
      </w:r>
    </w:p>
    <w:p w14:paraId="13C72E8B">
      <w:pPr>
        <w:snapToGrid w:val="0"/>
        <w:spacing w:line="360" w:lineRule="auto"/>
        <w:rPr>
          <w:sz w:val="24"/>
          <w:szCs w:val="20"/>
        </w:rPr>
      </w:pPr>
      <w:r>
        <w:rPr>
          <w:sz w:val="24"/>
        </w:rPr>
        <w:t>传真：______________投标人代表姓名 ___________  职务：</w:t>
      </w:r>
    </w:p>
    <w:p w14:paraId="5B5158DF">
      <w:pPr>
        <w:snapToGrid w:val="0"/>
        <w:spacing w:line="360" w:lineRule="auto"/>
        <w:rPr>
          <w:sz w:val="24"/>
          <w:szCs w:val="20"/>
        </w:rPr>
      </w:pPr>
      <w:r>
        <w:rPr>
          <w:sz w:val="24"/>
        </w:rPr>
        <w:t>投标人名称（公章）：___________________</w:t>
      </w:r>
    </w:p>
    <w:p w14:paraId="5ACB3CB3">
      <w:pPr>
        <w:snapToGrid w:val="0"/>
        <w:spacing w:line="360" w:lineRule="auto"/>
        <w:rPr>
          <w:sz w:val="24"/>
          <w:szCs w:val="20"/>
        </w:rPr>
      </w:pPr>
      <w:r>
        <w:rPr>
          <w:sz w:val="24"/>
        </w:rPr>
        <w:t>开户银行：   银行帐号：</w:t>
      </w:r>
    </w:p>
    <w:p w14:paraId="41E48920">
      <w:pPr>
        <w:snapToGrid w:val="0"/>
        <w:spacing w:line="360" w:lineRule="auto"/>
        <w:rPr>
          <w:sz w:val="24"/>
        </w:rPr>
      </w:pPr>
      <w:r>
        <w:rPr>
          <w:sz w:val="24"/>
        </w:rPr>
        <w:t>法定代表人或授权委托人签字：</w:t>
      </w:r>
    </w:p>
    <w:p w14:paraId="776D7241">
      <w:pPr>
        <w:snapToGrid w:val="0"/>
        <w:spacing w:line="360" w:lineRule="auto"/>
        <w:rPr>
          <w:sz w:val="30"/>
          <w:szCs w:val="20"/>
        </w:rPr>
      </w:pPr>
      <w:r>
        <w:rPr>
          <w:sz w:val="24"/>
        </w:rPr>
        <w:t>日期：</w:t>
      </w:r>
      <w:r>
        <w:rPr>
          <w:rFonts w:hint="eastAsia"/>
          <w:sz w:val="24"/>
          <w:lang w:val="en-US" w:eastAsia="zh-CN"/>
        </w:rPr>
        <w:t xml:space="preserve">  </w:t>
      </w:r>
      <w:r>
        <w:rPr>
          <w:sz w:val="24"/>
        </w:rPr>
        <w:t>年</w:t>
      </w:r>
      <w:r>
        <w:rPr>
          <w:rFonts w:hint="eastAsia"/>
          <w:sz w:val="24"/>
          <w:lang w:val="en-US" w:eastAsia="zh-CN"/>
        </w:rPr>
        <w:t xml:space="preserve">   </w:t>
      </w:r>
      <w:r>
        <w:rPr>
          <w:sz w:val="24"/>
        </w:rPr>
        <w:t>月</w:t>
      </w:r>
      <w:r>
        <w:rPr>
          <w:rFonts w:hint="eastAsia"/>
          <w:sz w:val="24"/>
          <w:lang w:val="en-US" w:eastAsia="zh-CN"/>
        </w:rPr>
        <w:t xml:space="preserve">    </w:t>
      </w:r>
      <w:r>
        <w:rPr>
          <w:sz w:val="24"/>
        </w:rPr>
        <w:t>日</w:t>
      </w:r>
    </w:p>
    <w:p w14:paraId="3CC51B74">
      <w:pPr>
        <w:snapToGrid w:val="0"/>
        <w:spacing w:before="50" w:after="50" w:line="360" w:lineRule="auto"/>
        <w:rPr>
          <w:rFonts w:hint="eastAsia" w:ascii="宋体" w:hAnsi="宋体"/>
          <w:sz w:val="24"/>
          <w:szCs w:val="20"/>
        </w:rPr>
      </w:pPr>
      <w:r>
        <w:rPr>
          <w:rFonts w:ascii="宋体" w:hAnsi="宋体"/>
          <w:sz w:val="24"/>
        </w:rPr>
        <w:br w:type="page"/>
      </w:r>
    </w:p>
    <w:p w14:paraId="70BB0415">
      <w:pPr>
        <w:widowControl/>
        <w:spacing w:line="360" w:lineRule="auto"/>
        <w:jc w:val="left"/>
        <w:rPr>
          <w:rFonts w:hint="eastAsia" w:ascii="宋体" w:hAnsi="宋体"/>
          <w:b/>
          <w:sz w:val="24"/>
          <w:szCs w:val="20"/>
        </w:rPr>
      </w:pPr>
      <w:r>
        <w:rPr>
          <w:rFonts w:hint="eastAsia" w:ascii="宋体" w:hAnsi="宋体"/>
          <w:sz w:val="24"/>
          <w:szCs w:val="20"/>
        </w:rPr>
        <w:t>4</w:t>
      </w:r>
      <w:r>
        <w:rPr>
          <w:rFonts w:hint="eastAsia" w:ascii="宋体" w:hAnsi="宋体"/>
          <w:b/>
          <w:sz w:val="24"/>
        </w:rPr>
        <w:t>.法定代表人授权委托书格式</w:t>
      </w:r>
    </w:p>
    <w:p w14:paraId="51989CC1">
      <w:pPr>
        <w:snapToGrid w:val="0"/>
        <w:spacing w:before="156" w:beforeLines="50" w:after="50" w:line="360" w:lineRule="auto"/>
        <w:jc w:val="center"/>
        <w:rPr>
          <w:rFonts w:hint="eastAsia" w:ascii="宋体" w:hAnsi="宋体"/>
          <w:sz w:val="30"/>
          <w:szCs w:val="20"/>
        </w:rPr>
      </w:pPr>
    </w:p>
    <w:p w14:paraId="66C26D28">
      <w:pPr>
        <w:snapToGrid w:val="0"/>
        <w:spacing w:before="156" w:beforeLines="50" w:after="50" w:line="360" w:lineRule="auto"/>
        <w:jc w:val="center"/>
        <w:rPr>
          <w:rFonts w:hint="eastAsia" w:ascii="宋体" w:hAnsi="宋体"/>
          <w:b/>
          <w:sz w:val="30"/>
          <w:szCs w:val="30"/>
        </w:rPr>
      </w:pPr>
      <w:r>
        <w:rPr>
          <w:rFonts w:hint="eastAsia" w:ascii="宋体" w:hAnsi="宋体"/>
          <w:b/>
          <w:sz w:val="30"/>
          <w:szCs w:val="30"/>
        </w:rPr>
        <w:t>法定代表人授权委托书</w:t>
      </w:r>
    </w:p>
    <w:p w14:paraId="4BE27797">
      <w:pPr>
        <w:snapToGrid w:val="0"/>
        <w:spacing w:before="156" w:beforeLines="50" w:after="50" w:line="360" w:lineRule="auto"/>
        <w:rPr>
          <w:rFonts w:hint="eastAsia" w:ascii="宋体" w:hAnsi="宋体"/>
          <w:b/>
          <w:bCs/>
          <w:sz w:val="24"/>
          <w:szCs w:val="20"/>
        </w:rPr>
      </w:pPr>
      <w:r>
        <w:rPr>
          <w:rFonts w:hint="eastAsia" w:ascii="宋体" w:hAnsi="宋体"/>
          <w:bCs/>
          <w:sz w:val="24"/>
        </w:rPr>
        <w:t xml:space="preserve">致    </w:t>
      </w:r>
      <w:r>
        <w:rPr>
          <w:rFonts w:hint="eastAsia" w:ascii="宋体" w:hAnsi="宋体"/>
          <w:sz w:val="24"/>
        </w:rPr>
        <w:t>：</w:t>
      </w:r>
    </w:p>
    <w:p w14:paraId="4A12B073">
      <w:pPr>
        <w:snapToGrid w:val="0"/>
        <w:spacing w:before="156" w:beforeLines="50" w:after="50" w:line="360" w:lineRule="auto"/>
        <w:ind w:firstLine="720" w:firstLineChars="300"/>
        <w:rPr>
          <w:rFonts w:hint="eastAsia" w:ascii="宋体" w:hAnsi="宋体"/>
          <w:sz w:val="24"/>
          <w:u w:val="single"/>
        </w:rPr>
      </w:pPr>
      <w:r>
        <w:rPr>
          <w:rFonts w:hint="eastAsia" w:ascii="宋体" w:hAnsi="宋体"/>
          <w:sz w:val="24"/>
        </w:rPr>
        <w:t>我（姓名）系（供应商名称）的法定代表人，现授权委托本单位在职职工（姓名）以我方的名义参加项目的投标活动，并代表我方全权办理针对上述项目的投标、开标、评标、签约等具体事务和签署相关文件。</w:t>
      </w:r>
    </w:p>
    <w:p w14:paraId="4A080863">
      <w:pPr>
        <w:snapToGrid w:val="0"/>
        <w:spacing w:before="156" w:beforeLines="50" w:after="50" w:line="360" w:lineRule="auto"/>
        <w:rPr>
          <w:rFonts w:hint="eastAsia" w:ascii="宋体" w:hAnsi="宋体"/>
          <w:sz w:val="24"/>
          <w:szCs w:val="20"/>
        </w:rPr>
      </w:pPr>
      <w:r>
        <w:rPr>
          <w:rFonts w:hint="eastAsia" w:ascii="宋体" w:hAnsi="宋体"/>
          <w:sz w:val="24"/>
        </w:rPr>
        <w:t>我方对被授权人的签名事项负全部责任。</w:t>
      </w:r>
    </w:p>
    <w:p w14:paraId="3136AB49">
      <w:pPr>
        <w:snapToGrid w:val="0"/>
        <w:spacing w:before="156" w:beforeLines="50" w:after="50" w:line="360" w:lineRule="auto"/>
        <w:ind w:firstLine="480"/>
        <w:rPr>
          <w:rFonts w:hint="eastAsia" w:ascii="宋体" w:hAnsi="宋体"/>
          <w:sz w:val="24"/>
          <w:szCs w:val="20"/>
        </w:rPr>
      </w:pPr>
      <w:r>
        <w:rPr>
          <w:rFonts w:hint="eastAsia" w:ascii="宋体" w:hAnsi="宋体"/>
          <w:sz w:val="24"/>
          <w:u w:val="single"/>
        </w:rPr>
        <w:t>在撤销授权的书面通知以前，本授权书一直有效。</w:t>
      </w:r>
      <w:r>
        <w:rPr>
          <w:rFonts w:hint="eastAsia" w:ascii="宋体" w:hAnsi="宋体"/>
          <w:sz w:val="24"/>
        </w:rPr>
        <w:t>被授权人在授权书有效期内签署的所有文件不因授权的撤销而失效。</w:t>
      </w:r>
    </w:p>
    <w:p w14:paraId="1955E9E3">
      <w:pPr>
        <w:snapToGrid w:val="0"/>
        <w:spacing w:before="156" w:beforeLines="50" w:after="50" w:line="360" w:lineRule="auto"/>
        <w:ind w:firstLine="480"/>
        <w:rPr>
          <w:rFonts w:hint="eastAsia" w:ascii="宋体" w:hAnsi="宋体"/>
          <w:sz w:val="24"/>
          <w:szCs w:val="20"/>
        </w:rPr>
      </w:pPr>
      <w:r>
        <w:rPr>
          <w:rFonts w:hint="eastAsia" w:ascii="宋体" w:hAnsi="宋体"/>
          <w:sz w:val="24"/>
        </w:rPr>
        <w:t>被授权人无转委托权，特此委托。</w:t>
      </w:r>
    </w:p>
    <w:p w14:paraId="0FFA5F31">
      <w:pPr>
        <w:snapToGrid w:val="0"/>
        <w:spacing w:before="156" w:beforeLines="50" w:after="50" w:line="360" w:lineRule="auto"/>
        <w:rPr>
          <w:rFonts w:hint="eastAsia" w:ascii="宋体" w:hAnsi="宋体"/>
          <w:sz w:val="24"/>
          <w:szCs w:val="20"/>
        </w:rPr>
      </w:pPr>
    </w:p>
    <w:p w14:paraId="13229759">
      <w:pPr>
        <w:snapToGrid w:val="0"/>
        <w:spacing w:before="156" w:beforeLines="50" w:after="50" w:line="360" w:lineRule="auto"/>
        <w:rPr>
          <w:rFonts w:hint="eastAsia" w:ascii="宋体" w:hAnsi="宋体"/>
          <w:sz w:val="24"/>
          <w:szCs w:val="20"/>
          <w:u w:val="single"/>
        </w:rPr>
      </w:pPr>
      <w:r>
        <w:rPr>
          <w:rFonts w:hint="eastAsia" w:ascii="宋体" w:hAnsi="宋体"/>
          <w:sz w:val="24"/>
        </w:rPr>
        <w:t>被授权人：</w:t>
      </w:r>
      <w:r>
        <w:rPr>
          <w:rFonts w:hint="eastAsia" w:ascii="宋体" w:hAnsi="宋体"/>
          <w:sz w:val="24"/>
          <w:u w:val="single"/>
        </w:rPr>
        <w:t>（签字或盖章）</w:t>
      </w:r>
      <w:r>
        <w:rPr>
          <w:rFonts w:hint="eastAsia" w:ascii="宋体" w:hAnsi="宋体"/>
          <w:sz w:val="24"/>
        </w:rPr>
        <w:t>法定代表人：</w:t>
      </w:r>
      <w:r>
        <w:rPr>
          <w:rFonts w:hint="eastAsia" w:ascii="宋体" w:hAnsi="宋体"/>
          <w:sz w:val="24"/>
          <w:u w:val="single"/>
        </w:rPr>
        <w:t>（签字或盖章）</w:t>
      </w:r>
    </w:p>
    <w:p w14:paraId="3114DBD1">
      <w:pPr>
        <w:snapToGrid w:val="0"/>
        <w:spacing w:before="156" w:beforeLines="50" w:after="50" w:line="360" w:lineRule="auto"/>
        <w:rPr>
          <w:rFonts w:hint="eastAsia" w:ascii="宋体" w:hAnsi="宋体"/>
          <w:sz w:val="24"/>
          <w:szCs w:val="20"/>
        </w:rPr>
      </w:pPr>
      <w:r>
        <w:rPr>
          <w:rFonts w:hint="eastAsia" w:ascii="宋体" w:hAnsi="宋体"/>
          <w:sz w:val="24"/>
        </w:rPr>
        <w:t>职务：职务：</w:t>
      </w:r>
    </w:p>
    <w:p w14:paraId="0841BA65">
      <w:pPr>
        <w:snapToGrid w:val="0"/>
        <w:spacing w:before="156" w:beforeLines="50" w:after="50" w:line="360" w:lineRule="auto"/>
        <w:rPr>
          <w:rFonts w:hint="eastAsia" w:ascii="宋体" w:hAnsi="宋体"/>
          <w:sz w:val="24"/>
        </w:rPr>
      </w:pPr>
      <w:r>
        <w:rPr>
          <w:rFonts w:hint="eastAsia" w:ascii="宋体" w:hAnsi="宋体"/>
          <w:sz w:val="24"/>
        </w:rPr>
        <w:t>被授权人身份证号码：</w:t>
      </w:r>
    </w:p>
    <w:p w14:paraId="5C986385">
      <w:pPr>
        <w:snapToGrid w:val="0"/>
        <w:spacing w:before="156" w:beforeLines="50" w:after="50" w:line="360" w:lineRule="auto"/>
        <w:rPr>
          <w:rFonts w:hint="eastAsia" w:ascii="宋体" w:hAnsi="宋体"/>
          <w:sz w:val="24"/>
          <w:szCs w:val="20"/>
        </w:rPr>
      </w:pPr>
      <w:r>
        <w:rPr>
          <w:rFonts w:hint="eastAsia" w:ascii="宋体" w:hAnsi="宋体"/>
          <w:sz w:val="24"/>
        </w:rPr>
        <w:t>（附被授权人身份证正反双面复印件）</w:t>
      </w:r>
    </w:p>
    <w:p w14:paraId="5D2ED34F">
      <w:pPr>
        <w:snapToGrid w:val="0"/>
        <w:spacing w:before="156" w:beforeLines="50" w:after="50" w:line="360" w:lineRule="auto"/>
        <w:rPr>
          <w:rFonts w:hint="eastAsia" w:ascii="宋体" w:hAnsi="宋体"/>
          <w:sz w:val="24"/>
          <w:szCs w:val="20"/>
        </w:rPr>
      </w:pPr>
      <w:r>
        <w:rPr>
          <w:rFonts w:hint="eastAsia" w:ascii="宋体" w:hAnsi="宋体"/>
          <w:sz w:val="24"/>
        </w:rPr>
        <w:t>供应商：</w:t>
      </w:r>
      <w:r>
        <w:rPr>
          <w:rFonts w:hint="eastAsia" w:ascii="宋体" w:hAnsi="宋体"/>
          <w:sz w:val="24"/>
          <w:u w:val="single"/>
        </w:rPr>
        <w:t xml:space="preserve">       （盖章）       </w:t>
      </w:r>
    </w:p>
    <w:p w14:paraId="686D706A">
      <w:pPr>
        <w:snapToGrid w:val="0"/>
        <w:spacing w:before="156" w:beforeLines="50" w:after="50" w:line="360" w:lineRule="auto"/>
        <w:jc w:val="center"/>
        <w:rPr>
          <w:rFonts w:hint="eastAsia" w:ascii="宋体" w:hAnsi="宋体"/>
          <w:sz w:val="24"/>
        </w:rPr>
      </w:pPr>
      <w:r>
        <w:rPr>
          <w:rFonts w:hint="eastAsia" w:ascii="宋体" w:hAnsi="宋体"/>
          <w:sz w:val="24"/>
        </w:rPr>
        <w:t>年     月    日</w:t>
      </w:r>
    </w:p>
    <w:p w14:paraId="497E6FDE">
      <w:pPr>
        <w:snapToGrid w:val="0"/>
        <w:spacing w:before="50" w:after="50" w:line="360" w:lineRule="auto"/>
        <w:rPr>
          <w:rFonts w:hint="eastAsia" w:ascii="宋体" w:hAnsi="宋体"/>
          <w:sz w:val="24"/>
        </w:rPr>
      </w:pPr>
    </w:p>
    <w:p w14:paraId="12967DEE">
      <w:pPr>
        <w:snapToGrid w:val="0"/>
        <w:spacing w:before="50" w:after="50" w:line="360" w:lineRule="auto"/>
        <w:rPr>
          <w:rFonts w:hint="eastAsia" w:ascii="宋体" w:hAnsi="宋体"/>
          <w:sz w:val="24"/>
        </w:rPr>
      </w:pPr>
    </w:p>
    <w:p w14:paraId="3269C49D">
      <w:pPr>
        <w:snapToGrid w:val="0"/>
        <w:spacing w:before="50" w:after="156" w:afterLines="50" w:line="360" w:lineRule="auto"/>
        <w:jc w:val="center"/>
        <w:rPr>
          <w:rFonts w:hint="eastAsia" w:ascii="宋体" w:hAnsi="宋体" w:cs="Arial"/>
          <w:kern w:val="0"/>
          <w:sz w:val="24"/>
          <w:u w:val="single"/>
        </w:rPr>
      </w:pPr>
    </w:p>
    <w:p w14:paraId="1EA89ADF">
      <w:pPr>
        <w:snapToGrid w:val="0"/>
        <w:spacing w:before="50" w:after="156" w:afterLines="50" w:line="360" w:lineRule="auto"/>
        <w:jc w:val="center"/>
        <w:rPr>
          <w:rFonts w:hint="eastAsia" w:ascii="宋体" w:hAnsi="宋体" w:cs="Arial"/>
          <w:kern w:val="0"/>
          <w:sz w:val="24"/>
          <w:u w:val="single"/>
        </w:rPr>
      </w:pPr>
    </w:p>
    <w:p w14:paraId="454A1CB3">
      <w:pPr>
        <w:snapToGrid w:val="0"/>
        <w:spacing w:before="50" w:after="156" w:afterLines="50" w:line="360" w:lineRule="auto"/>
        <w:jc w:val="center"/>
        <w:rPr>
          <w:rFonts w:hint="eastAsia" w:ascii="宋体" w:hAnsi="宋体" w:cs="Arial"/>
          <w:kern w:val="0"/>
          <w:sz w:val="24"/>
          <w:u w:val="single"/>
        </w:rPr>
      </w:pPr>
    </w:p>
    <w:p w14:paraId="473BE800">
      <w:pPr>
        <w:snapToGrid w:val="0"/>
        <w:spacing w:before="50" w:after="156" w:afterLines="50" w:line="360" w:lineRule="auto"/>
        <w:jc w:val="center"/>
        <w:rPr>
          <w:rFonts w:hint="eastAsia" w:ascii="宋体" w:hAnsi="宋体" w:cs="Arial"/>
          <w:kern w:val="0"/>
          <w:sz w:val="24"/>
          <w:u w:val="single"/>
        </w:rPr>
      </w:pPr>
    </w:p>
    <w:p w14:paraId="60403432">
      <w:pPr>
        <w:snapToGrid w:val="0"/>
        <w:spacing w:before="156" w:beforeLines="50" w:after="50" w:line="360" w:lineRule="auto"/>
        <w:rPr>
          <w:rFonts w:hint="eastAsia" w:ascii="宋体" w:hAnsi="宋体"/>
          <w:b/>
          <w:sz w:val="24"/>
          <w:szCs w:val="20"/>
        </w:rPr>
      </w:pPr>
      <w:r>
        <w:rPr>
          <w:rFonts w:hint="eastAsia" w:ascii="宋体" w:hAnsi="宋体"/>
          <w:b/>
          <w:sz w:val="24"/>
        </w:rPr>
        <w:t>5.投标函格式</w:t>
      </w:r>
    </w:p>
    <w:p w14:paraId="1A1F4718">
      <w:pPr>
        <w:snapToGrid w:val="0"/>
        <w:spacing w:before="156" w:beforeLines="50" w:after="50" w:line="360" w:lineRule="auto"/>
        <w:jc w:val="center"/>
        <w:rPr>
          <w:rFonts w:hint="eastAsia" w:ascii="宋体" w:hAnsi="宋体"/>
          <w:b/>
          <w:sz w:val="30"/>
          <w:szCs w:val="30"/>
        </w:rPr>
      </w:pPr>
      <w:r>
        <w:rPr>
          <w:rFonts w:hint="eastAsia" w:ascii="宋体" w:hAnsi="宋体"/>
          <w:b/>
          <w:sz w:val="30"/>
          <w:szCs w:val="30"/>
        </w:rPr>
        <w:t>投标函</w:t>
      </w:r>
    </w:p>
    <w:p w14:paraId="3CF730E5">
      <w:pPr>
        <w:snapToGrid w:val="0"/>
        <w:spacing w:line="360" w:lineRule="auto"/>
        <w:rPr>
          <w:rFonts w:hint="eastAsia" w:ascii="宋体" w:hAnsi="宋体"/>
          <w:sz w:val="24"/>
          <w:szCs w:val="20"/>
        </w:rPr>
      </w:pPr>
      <w:r>
        <w:rPr>
          <w:rFonts w:hint="eastAsia" w:ascii="宋体" w:hAnsi="宋体"/>
          <w:sz w:val="24"/>
        </w:rPr>
        <w:t>致：</w:t>
      </w:r>
    </w:p>
    <w:p w14:paraId="721B9E79">
      <w:pPr>
        <w:snapToGrid w:val="0"/>
        <w:spacing w:line="360" w:lineRule="auto"/>
        <w:ind w:firstLine="480"/>
        <w:rPr>
          <w:rFonts w:hint="eastAsia" w:ascii="宋体" w:hAnsi="宋体"/>
          <w:sz w:val="24"/>
          <w:szCs w:val="20"/>
        </w:rPr>
      </w:pPr>
      <w:r>
        <w:rPr>
          <w:rFonts w:hint="eastAsia" w:ascii="宋体" w:hAnsi="宋体"/>
          <w:sz w:val="24"/>
        </w:rPr>
        <w:t>根据贵方为项目的招标公告</w:t>
      </w:r>
      <w:r>
        <w:rPr>
          <w:rFonts w:ascii="宋体" w:hAnsi="宋体"/>
          <w:sz w:val="24"/>
        </w:rPr>
        <w:t>/</w:t>
      </w:r>
      <w:r>
        <w:rPr>
          <w:rFonts w:hint="eastAsia" w:ascii="宋体" w:hAnsi="宋体"/>
          <w:sz w:val="24"/>
        </w:rPr>
        <w:t>投标邀请书</w:t>
      </w:r>
    </w:p>
    <w:p w14:paraId="289B8DA1">
      <w:pPr>
        <w:snapToGrid w:val="0"/>
        <w:spacing w:line="360" w:lineRule="auto"/>
        <w:rPr>
          <w:rFonts w:hint="eastAsia" w:ascii="宋体" w:hAnsi="宋体"/>
          <w:sz w:val="24"/>
          <w:szCs w:val="20"/>
        </w:rPr>
      </w:pPr>
      <w:r>
        <w:rPr>
          <w:rFonts w:hint="eastAsia" w:ascii="宋体" w:hAnsi="宋体"/>
          <w:sz w:val="24"/>
        </w:rPr>
        <w:t>（项目编号：），签字代表（全名）经正式授权并代表供应商（供应商名称）提交投标文件正本一份、副本两份。</w:t>
      </w:r>
    </w:p>
    <w:p w14:paraId="7295351F">
      <w:pPr>
        <w:snapToGrid w:val="0"/>
        <w:spacing w:line="360" w:lineRule="auto"/>
        <w:ind w:firstLine="480" w:firstLineChars="200"/>
        <w:rPr>
          <w:rFonts w:hint="eastAsia" w:ascii="宋体" w:hAnsi="宋体"/>
          <w:sz w:val="24"/>
          <w:szCs w:val="20"/>
        </w:rPr>
      </w:pPr>
      <w:r>
        <w:rPr>
          <w:rFonts w:hint="eastAsia" w:ascii="宋体" w:hAnsi="宋体"/>
          <w:sz w:val="24"/>
        </w:rPr>
        <w:t>据此函，签字代表宣布同意如下：</w:t>
      </w:r>
    </w:p>
    <w:p w14:paraId="6123EC15">
      <w:pPr>
        <w:snapToGrid w:val="0"/>
        <w:spacing w:line="360" w:lineRule="auto"/>
        <w:ind w:firstLine="480" w:firstLineChars="200"/>
        <w:rPr>
          <w:rFonts w:hint="eastAsia" w:ascii="宋体" w:hAnsi="宋体"/>
          <w:sz w:val="24"/>
          <w:szCs w:val="20"/>
        </w:rPr>
      </w:pPr>
      <w:r>
        <w:rPr>
          <w:rFonts w:ascii="宋体" w:hAnsi="宋体"/>
          <w:sz w:val="24"/>
        </w:rPr>
        <w:t>1</w:t>
      </w:r>
      <w:r>
        <w:rPr>
          <w:rFonts w:hint="eastAsia" w:ascii="宋体" w:hAnsi="宋体"/>
          <w:sz w:val="24"/>
        </w:rPr>
        <w:t>.供应商已详细审查全部“招标文件”，包括修改、澄清文件（如有的话）以及全部参考资料和有关附件，已经了解我方对于招标文件、采购过程、采购结果有依法进行询问、质疑、投诉的权利及相关渠道和要求。</w:t>
      </w:r>
    </w:p>
    <w:p w14:paraId="3A24CB5A">
      <w:pPr>
        <w:snapToGrid w:val="0"/>
        <w:spacing w:line="360" w:lineRule="auto"/>
        <w:ind w:firstLine="480" w:firstLineChars="200"/>
        <w:rPr>
          <w:rFonts w:hint="eastAsia" w:ascii="宋体" w:hAnsi="宋体"/>
          <w:sz w:val="24"/>
          <w:szCs w:val="20"/>
        </w:rPr>
      </w:pPr>
      <w:r>
        <w:rPr>
          <w:rFonts w:ascii="宋体" w:hAnsi="宋体"/>
          <w:sz w:val="24"/>
        </w:rPr>
        <w:t>2</w:t>
      </w:r>
      <w:r>
        <w:rPr>
          <w:rFonts w:hint="eastAsia" w:ascii="宋体" w:hAnsi="宋体"/>
          <w:sz w:val="24"/>
        </w:rPr>
        <w:t>.供应商在投标之前已经与贵方进行了充分的沟通，完全理解并接受招标文件的各项规定和要求，对招标文件的合理性、合法性不再有异议。</w:t>
      </w:r>
    </w:p>
    <w:p w14:paraId="309A20DA">
      <w:pPr>
        <w:snapToGrid w:val="0"/>
        <w:spacing w:line="360" w:lineRule="auto"/>
        <w:ind w:firstLine="480" w:firstLineChars="200"/>
        <w:rPr>
          <w:rFonts w:hint="eastAsia" w:ascii="宋体" w:hAnsi="宋体"/>
          <w:sz w:val="24"/>
          <w:szCs w:val="20"/>
        </w:rPr>
      </w:pPr>
      <w:r>
        <w:rPr>
          <w:rFonts w:ascii="宋体" w:hAnsi="宋体"/>
          <w:sz w:val="24"/>
        </w:rPr>
        <w:t>3</w:t>
      </w:r>
      <w:r>
        <w:rPr>
          <w:rFonts w:hint="eastAsia" w:ascii="宋体" w:hAnsi="宋体"/>
          <w:sz w:val="24"/>
        </w:rPr>
        <w:t>.投标有效期自开标日起</w:t>
      </w:r>
      <w:r>
        <w:rPr>
          <w:rFonts w:hint="eastAsia" w:ascii="宋体" w:hAnsi="宋体"/>
          <w:sz w:val="24"/>
          <w:u w:val="single"/>
        </w:rPr>
        <w:t>90</w:t>
      </w:r>
      <w:r>
        <w:rPr>
          <w:rFonts w:hint="eastAsia" w:ascii="宋体" w:hAnsi="宋体"/>
          <w:sz w:val="24"/>
        </w:rPr>
        <w:t>个日历日。</w:t>
      </w:r>
    </w:p>
    <w:p w14:paraId="23EB06EA">
      <w:pPr>
        <w:snapToGrid w:val="0"/>
        <w:spacing w:line="360" w:lineRule="auto"/>
        <w:ind w:firstLine="480" w:firstLineChars="200"/>
        <w:rPr>
          <w:rFonts w:hint="eastAsia" w:ascii="宋体" w:hAnsi="宋体"/>
          <w:sz w:val="24"/>
          <w:szCs w:val="20"/>
        </w:rPr>
      </w:pPr>
      <w:r>
        <w:rPr>
          <w:rFonts w:ascii="宋体" w:hAnsi="宋体"/>
          <w:sz w:val="24"/>
        </w:rPr>
        <w:t>4</w:t>
      </w:r>
      <w:r>
        <w:rPr>
          <w:rFonts w:hint="eastAsia" w:ascii="宋体" w:hAnsi="宋体"/>
          <w:sz w:val="24"/>
        </w:rPr>
        <w:t>.如中标，本投标文件至本项目合同履行完毕止均保持有效，本供应商将按“招标文件”及政府采购法律、法规的规定履行合同责任和义务。</w:t>
      </w:r>
    </w:p>
    <w:p w14:paraId="0A750FEF">
      <w:pPr>
        <w:snapToGrid w:val="0"/>
        <w:spacing w:line="360" w:lineRule="auto"/>
        <w:ind w:firstLine="480" w:firstLineChars="200"/>
        <w:rPr>
          <w:rFonts w:hint="eastAsia" w:ascii="宋体" w:hAnsi="宋体"/>
          <w:sz w:val="24"/>
          <w:szCs w:val="20"/>
        </w:rPr>
      </w:pPr>
      <w:r>
        <w:rPr>
          <w:rFonts w:ascii="宋体" w:hAnsi="宋体"/>
          <w:sz w:val="24"/>
        </w:rPr>
        <w:t>5</w:t>
      </w:r>
      <w:r>
        <w:rPr>
          <w:rFonts w:hint="eastAsia" w:ascii="宋体" w:hAnsi="宋体"/>
          <w:sz w:val="24"/>
        </w:rPr>
        <w:t>.供应商同意按照贵方要求提供与投标有关的一切数据或资料。</w:t>
      </w:r>
    </w:p>
    <w:p w14:paraId="47F0FDE5">
      <w:pPr>
        <w:snapToGrid w:val="0"/>
        <w:spacing w:line="360" w:lineRule="auto"/>
        <w:ind w:firstLine="480" w:firstLineChars="200"/>
        <w:rPr>
          <w:rFonts w:hint="eastAsia" w:ascii="宋体" w:hAnsi="宋体"/>
          <w:sz w:val="24"/>
          <w:szCs w:val="20"/>
        </w:rPr>
      </w:pPr>
      <w:r>
        <w:rPr>
          <w:rFonts w:ascii="宋体" w:hAnsi="宋体"/>
          <w:sz w:val="24"/>
        </w:rPr>
        <w:t>6</w:t>
      </w:r>
      <w:r>
        <w:rPr>
          <w:rFonts w:hint="eastAsia" w:ascii="宋体" w:hAnsi="宋体"/>
          <w:sz w:val="24"/>
        </w:rPr>
        <w:t>.与本投标有关的一切正式往来信函请寄：</w:t>
      </w:r>
    </w:p>
    <w:p w14:paraId="03490B45">
      <w:pPr>
        <w:snapToGrid w:val="0"/>
        <w:spacing w:line="360" w:lineRule="auto"/>
        <w:rPr>
          <w:rFonts w:hint="eastAsia" w:ascii="宋体" w:hAnsi="宋体"/>
          <w:sz w:val="24"/>
          <w:szCs w:val="20"/>
        </w:rPr>
      </w:pPr>
      <w:r>
        <w:rPr>
          <w:rFonts w:hint="eastAsia" w:ascii="宋体" w:hAnsi="宋体"/>
          <w:sz w:val="24"/>
        </w:rPr>
        <w:t>地址：邮编：电话：</w:t>
      </w:r>
    </w:p>
    <w:p w14:paraId="2441F7B6">
      <w:pPr>
        <w:snapToGrid w:val="0"/>
        <w:spacing w:line="360" w:lineRule="auto"/>
        <w:rPr>
          <w:rFonts w:hint="eastAsia" w:ascii="宋体" w:hAnsi="宋体"/>
          <w:sz w:val="24"/>
          <w:szCs w:val="20"/>
        </w:rPr>
      </w:pPr>
      <w:r>
        <w:rPr>
          <w:rFonts w:hint="eastAsia" w:ascii="宋体" w:hAnsi="宋体"/>
          <w:sz w:val="24"/>
        </w:rPr>
        <w:t>传真：供应商代表姓名职务：供应商名称</w:t>
      </w:r>
      <w:r>
        <w:rPr>
          <w:rFonts w:ascii="宋体" w:hAnsi="宋体"/>
          <w:sz w:val="24"/>
        </w:rPr>
        <w:t xml:space="preserve">: </w:t>
      </w:r>
      <w:r>
        <w:rPr>
          <w:rFonts w:hint="eastAsia" w:ascii="宋体" w:hAnsi="宋体"/>
          <w:sz w:val="24"/>
          <w:u w:val="single"/>
        </w:rPr>
        <w:t>（盖章）</w:t>
      </w:r>
      <w:r>
        <w:rPr>
          <w:rFonts w:hint="eastAsia" w:ascii="宋体" w:hAnsi="宋体"/>
          <w:sz w:val="24"/>
        </w:rPr>
        <w:t>开户银行：银行帐号：</w:t>
      </w:r>
    </w:p>
    <w:p w14:paraId="11C8C9F4">
      <w:pPr>
        <w:snapToGrid w:val="0"/>
        <w:spacing w:line="360" w:lineRule="auto"/>
        <w:rPr>
          <w:rFonts w:hint="eastAsia" w:ascii="宋体" w:hAnsi="宋体"/>
          <w:sz w:val="24"/>
        </w:rPr>
      </w:pPr>
      <w:r>
        <w:rPr>
          <w:rFonts w:hint="eastAsia" w:ascii="宋体" w:hAnsi="宋体"/>
          <w:sz w:val="24"/>
        </w:rPr>
        <w:t>法定代表人</w:t>
      </w:r>
      <w:r>
        <w:rPr>
          <w:rFonts w:ascii="宋体" w:hAnsi="宋体"/>
          <w:sz w:val="24"/>
        </w:rPr>
        <w:t xml:space="preserve">或授权委托人: </w:t>
      </w:r>
      <w:r>
        <w:rPr>
          <w:rFonts w:hint="eastAsia" w:ascii="宋体" w:hAnsi="宋体"/>
          <w:sz w:val="24"/>
          <w:u w:val="single"/>
        </w:rPr>
        <w:t>（签字或盖章）</w:t>
      </w:r>
    </w:p>
    <w:p w14:paraId="5EF84F09">
      <w:pPr>
        <w:snapToGrid w:val="0"/>
        <w:spacing w:line="360" w:lineRule="auto"/>
        <w:rPr>
          <w:rFonts w:hint="eastAsia" w:ascii="宋体" w:hAnsi="宋体"/>
          <w:sz w:val="30"/>
          <w:szCs w:val="20"/>
        </w:rPr>
      </w:pPr>
      <w:r>
        <w:rPr>
          <w:rFonts w:hint="eastAsia" w:ascii="宋体" w:hAnsi="宋体"/>
          <w:sz w:val="24"/>
        </w:rPr>
        <w:t>日期</w:t>
      </w:r>
      <w:r>
        <w:rPr>
          <w:rFonts w:ascii="宋体" w:hAnsi="宋体"/>
          <w:sz w:val="24"/>
        </w:rPr>
        <w:t xml:space="preserve">: </w:t>
      </w:r>
      <w:r>
        <w:rPr>
          <w:rFonts w:hint="eastAsia" w:ascii="宋体" w:hAnsi="宋体"/>
          <w:sz w:val="24"/>
        </w:rPr>
        <w:t>年月日</w:t>
      </w:r>
    </w:p>
    <w:p w14:paraId="76FCEB5A">
      <w:pPr>
        <w:pStyle w:val="15"/>
        <w:snapToGrid w:val="0"/>
        <w:spacing w:line="360" w:lineRule="auto"/>
        <w:rPr>
          <w:rFonts w:hint="eastAsia" w:hAnsi="宋体"/>
        </w:rPr>
      </w:pPr>
    </w:p>
    <w:p w14:paraId="5FDDC8CA">
      <w:pPr>
        <w:widowControl/>
        <w:jc w:val="left"/>
        <w:rPr>
          <w:rFonts w:hint="eastAsia" w:hAnsi="宋体"/>
        </w:rPr>
        <w:sectPr>
          <w:pgSz w:w="11906" w:h="16838"/>
          <w:pgMar w:top="1440" w:right="1800" w:bottom="1134" w:left="1800" w:header="851" w:footer="992" w:gutter="0"/>
          <w:pgNumType w:fmt="decimal"/>
          <w:cols w:space="720" w:num="1"/>
          <w:docGrid w:type="lines" w:linePitch="312" w:charSpace="0"/>
        </w:sectPr>
      </w:pPr>
    </w:p>
    <w:p w14:paraId="5A6CD934">
      <w:pPr>
        <w:widowControl/>
        <w:jc w:val="left"/>
        <w:rPr>
          <w:rFonts w:hint="eastAsia" w:ascii="宋体" w:hAnsi="宋体"/>
          <w:kern w:val="0"/>
          <w:sz w:val="24"/>
          <w:szCs w:val="24"/>
        </w:rPr>
      </w:pPr>
      <w:r>
        <w:rPr>
          <w:rFonts w:hint="eastAsia" w:ascii="宋体" w:hAnsi="宋体"/>
          <w:b/>
          <w:sz w:val="24"/>
        </w:rPr>
        <w:t>6.开标一览表</w:t>
      </w:r>
    </w:p>
    <w:p w14:paraId="1CD58858">
      <w:pPr>
        <w:jc w:val="center"/>
        <w:rPr>
          <w:rFonts w:hint="eastAsia" w:ascii="新宋体" w:hAnsi="新宋体" w:eastAsia="新宋体" w:cs="宋体"/>
          <w:b/>
          <w:bCs/>
          <w:sz w:val="32"/>
          <w:szCs w:val="32"/>
        </w:rPr>
      </w:pPr>
      <w:r>
        <w:rPr>
          <w:rFonts w:hint="eastAsia" w:ascii="新宋体" w:hAnsi="新宋体" w:eastAsia="新宋体" w:cs="宋体"/>
          <w:b/>
          <w:bCs/>
          <w:sz w:val="32"/>
          <w:szCs w:val="32"/>
        </w:rPr>
        <w:t>浙江康复医院</w:t>
      </w:r>
    </w:p>
    <w:p w14:paraId="46DC5363">
      <w:pPr>
        <w:jc w:val="center"/>
        <w:rPr>
          <w:rFonts w:hint="eastAsia" w:ascii="新宋体" w:hAnsi="新宋体" w:eastAsia="新宋体" w:cs="宋体"/>
          <w:b/>
          <w:bCs/>
          <w:sz w:val="32"/>
          <w:szCs w:val="32"/>
        </w:rPr>
      </w:pPr>
      <w:r>
        <w:rPr>
          <w:rFonts w:hint="eastAsia" w:ascii="新宋体" w:hAnsi="新宋体" w:eastAsia="新宋体" w:cs="宋体"/>
          <w:b/>
          <w:bCs/>
          <w:sz w:val="32"/>
          <w:szCs w:val="32"/>
        </w:rPr>
        <w:t xml:space="preserve">西溪院区康养中心护理服务项目开标一览表 </w:t>
      </w:r>
    </w:p>
    <w:tbl>
      <w:tblPr>
        <w:tblStyle w:val="23"/>
        <w:tblW w:w="74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0"/>
        <w:gridCol w:w="4690"/>
        <w:gridCol w:w="1183"/>
      </w:tblGrid>
      <w:tr w14:paraId="3261F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0" w:type="dxa"/>
          </w:tcPr>
          <w:p w14:paraId="0D77D861">
            <w:pPr>
              <w:widowControl/>
              <w:jc w:val="center"/>
              <w:rPr>
                <w:rFonts w:hint="eastAsia" w:ascii="新宋体" w:hAnsi="新宋体" w:eastAsia="新宋体" w:cs="宋体"/>
                <w:b/>
                <w:bCs/>
                <w:sz w:val="28"/>
                <w:szCs w:val="28"/>
              </w:rPr>
            </w:pPr>
            <w:r>
              <w:rPr>
                <w:rFonts w:hint="eastAsia" w:ascii="新宋体" w:hAnsi="新宋体" w:eastAsia="新宋体" w:cs="宋体"/>
                <w:b/>
                <w:bCs/>
                <w:sz w:val="28"/>
                <w:szCs w:val="28"/>
              </w:rPr>
              <w:t>项目</w:t>
            </w:r>
          </w:p>
        </w:tc>
        <w:tc>
          <w:tcPr>
            <w:tcW w:w="4690" w:type="dxa"/>
          </w:tcPr>
          <w:p w14:paraId="49B4CBCB">
            <w:pPr>
              <w:widowControl/>
              <w:jc w:val="center"/>
              <w:rPr>
                <w:rFonts w:hint="eastAsia" w:ascii="新宋体" w:hAnsi="新宋体" w:eastAsia="新宋体" w:cs="宋体"/>
                <w:b/>
                <w:bCs/>
                <w:sz w:val="28"/>
                <w:szCs w:val="28"/>
              </w:rPr>
            </w:pPr>
            <w:r>
              <w:rPr>
                <w:rFonts w:hint="eastAsia" w:ascii="新宋体" w:hAnsi="新宋体" w:eastAsia="新宋体" w:cs="宋体"/>
                <w:b/>
                <w:bCs/>
                <w:sz w:val="28"/>
                <w:szCs w:val="28"/>
              </w:rPr>
              <w:t>投标报价</w:t>
            </w:r>
          </w:p>
        </w:tc>
        <w:tc>
          <w:tcPr>
            <w:tcW w:w="1183" w:type="dxa"/>
          </w:tcPr>
          <w:p w14:paraId="37FAFA52">
            <w:pPr>
              <w:widowControl/>
              <w:jc w:val="center"/>
              <w:rPr>
                <w:rFonts w:hint="eastAsia" w:ascii="新宋体" w:hAnsi="新宋体" w:eastAsia="新宋体" w:cs="宋体"/>
                <w:b/>
                <w:bCs/>
                <w:sz w:val="28"/>
                <w:szCs w:val="28"/>
              </w:rPr>
            </w:pPr>
            <w:r>
              <w:rPr>
                <w:rFonts w:hint="eastAsia" w:ascii="新宋体" w:hAnsi="新宋体" w:eastAsia="新宋体" w:cs="宋体"/>
                <w:b/>
                <w:bCs/>
                <w:sz w:val="28"/>
                <w:szCs w:val="28"/>
              </w:rPr>
              <w:t>备注</w:t>
            </w:r>
          </w:p>
        </w:tc>
      </w:tr>
      <w:tr w14:paraId="7D5A6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1560" w:type="dxa"/>
          </w:tcPr>
          <w:p w14:paraId="728939A0">
            <w:pPr>
              <w:pStyle w:val="27"/>
            </w:pPr>
            <w:r>
              <w:rPr>
                <w:rFonts w:hint="eastAsia" w:ascii="新宋体" w:hAnsi="新宋体" w:eastAsia="新宋体"/>
                <w:b/>
                <w:bCs/>
              </w:rPr>
              <w:t>西溪院区康养中心护理服务项目</w:t>
            </w:r>
          </w:p>
        </w:tc>
        <w:tc>
          <w:tcPr>
            <w:tcW w:w="4690" w:type="dxa"/>
          </w:tcPr>
          <w:p w14:paraId="157496C1">
            <w:pPr>
              <w:widowControl/>
              <w:jc w:val="left"/>
              <w:rPr>
                <w:rFonts w:hint="eastAsia" w:ascii="新宋体" w:hAnsi="新宋体" w:eastAsia="新宋体" w:cs="宋体"/>
                <w:b/>
                <w:bCs/>
                <w:sz w:val="32"/>
                <w:szCs w:val="32"/>
              </w:rPr>
            </w:pPr>
          </w:p>
        </w:tc>
        <w:tc>
          <w:tcPr>
            <w:tcW w:w="1183" w:type="dxa"/>
          </w:tcPr>
          <w:p w14:paraId="34C825AF">
            <w:pPr>
              <w:widowControl/>
              <w:jc w:val="left"/>
              <w:rPr>
                <w:rFonts w:hint="eastAsia" w:ascii="新宋体" w:hAnsi="新宋体" w:eastAsia="新宋体" w:cs="宋体"/>
                <w:b/>
                <w:bCs/>
                <w:sz w:val="32"/>
                <w:szCs w:val="32"/>
              </w:rPr>
            </w:pPr>
          </w:p>
        </w:tc>
      </w:tr>
    </w:tbl>
    <w:p w14:paraId="1129EFA1">
      <w:pPr>
        <w:snapToGrid w:val="0"/>
        <w:spacing w:before="50" w:after="50" w:line="360" w:lineRule="auto"/>
        <w:ind w:firstLine="562" w:firstLineChars="200"/>
        <w:jc w:val="left"/>
        <w:rPr>
          <w:rFonts w:hint="eastAsia" w:ascii="宋体" w:hAnsi="宋体"/>
          <w:b/>
          <w:sz w:val="28"/>
          <w:szCs w:val="28"/>
        </w:rPr>
      </w:pPr>
      <w:r>
        <w:rPr>
          <w:rFonts w:hint="eastAsia" w:ascii="宋体" w:hAnsi="宋体"/>
          <w:b/>
          <w:sz w:val="28"/>
          <w:szCs w:val="28"/>
        </w:rPr>
        <w:t>注：1、本次报价包含材料、人工、管理费、税费等所有费用。报价作为此次投标的评标依据。</w:t>
      </w:r>
    </w:p>
    <w:p w14:paraId="10DA9D87">
      <w:pPr>
        <w:snapToGrid w:val="0"/>
        <w:spacing w:before="50" w:after="50" w:line="360" w:lineRule="auto"/>
        <w:rPr>
          <w:rFonts w:hint="eastAsia" w:ascii="宋体" w:hAnsi="宋体"/>
          <w:b/>
          <w:sz w:val="28"/>
          <w:szCs w:val="28"/>
        </w:rPr>
      </w:pPr>
      <w:r>
        <w:rPr>
          <w:rFonts w:hint="eastAsia" w:ascii="宋体" w:hAnsi="宋体"/>
          <w:b/>
          <w:sz w:val="28"/>
          <w:szCs w:val="28"/>
        </w:rPr>
        <w:t>2、最终根据实际发生量与投标报价进行结算。</w:t>
      </w:r>
    </w:p>
    <w:p w14:paraId="2DD9F3B3">
      <w:pPr>
        <w:snapToGrid w:val="0"/>
        <w:spacing w:before="50" w:after="50" w:line="360" w:lineRule="auto"/>
        <w:rPr>
          <w:rFonts w:hint="eastAsia" w:ascii="宋体" w:hAnsi="宋体"/>
          <w:b/>
          <w:sz w:val="28"/>
          <w:szCs w:val="28"/>
        </w:rPr>
      </w:pPr>
      <w:r>
        <w:rPr>
          <w:rFonts w:hint="eastAsia" w:ascii="宋体" w:hAnsi="宋体"/>
          <w:b/>
          <w:sz w:val="28"/>
          <w:szCs w:val="28"/>
        </w:rPr>
        <w:t>投标单位：___________(</w:t>
      </w:r>
      <w:r>
        <w:rPr>
          <w:rFonts w:hint="eastAsia" w:ascii="宋体" w:hAnsi="宋体"/>
          <w:b/>
          <w:sz w:val="28"/>
          <w:szCs w:val="28"/>
          <w:u w:val="single"/>
        </w:rPr>
        <w:t>盖章)</w:t>
      </w:r>
      <w:r>
        <w:rPr>
          <w:rFonts w:hint="eastAsia" w:ascii="宋体" w:hAnsi="宋体"/>
          <w:b/>
          <w:sz w:val="28"/>
          <w:szCs w:val="28"/>
        </w:rPr>
        <w:t>___________</w:t>
      </w:r>
    </w:p>
    <w:p w14:paraId="1D66E196">
      <w:pPr>
        <w:snapToGrid w:val="0"/>
        <w:spacing w:before="50" w:after="50" w:line="360" w:lineRule="auto"/>
        <w:rPr>
          <w:rFonts w:hint="eastAsia" w:ascii="宋体" w:hAnsi="宋体"/>
          <w:b/>
          <w:spacing w:val="20"/>
          <w:sz w:val="28"/>
          <w:szCs w:val="28"/>
          <w:u w:val="single"/>
        </w:rPr>
      </w:pPr>
      <w:r>
        <w:rPr>
          <w:rFonts w:hint="eastAsia" w:ascii="宋体" w:hAnsi="宋体"/>
          <w:b/>
          <w:sz w:val="28"/>
          <w:szCs w:val="28"/>
        </w:rPr>
        <w:t>法定代表人</w:t>
      </w:r>
      <w:r>
        <w:rPr>
          <w:rFonts w:ascii="宋体" w:hAnsi="宋体"/>
          <w:b/>
          <w:sz w:val="28"/>
          <w:szCs w:val="28"/>
        </w:rPr>
        <w:t>或授权委托人</w:t>
      </w:r>
      <w:r>
        <w:rPr>
          <w:rFonts w:hint="eastAsia" w:ascii="宋体" w:hAnsi="宋体"/>
          <w:b/>
          <w:spacing w:val="20"/>
          <w:sz w:val="28"/>
          <w:szCs w:val="28"/>
        </w:rPr>
        <w:t>：</w:t>
      </w:r>
      <w:r>
        <w:rPr>
          <w:rFonts w:hint="eastAsia" w:ascii="宋体" w:hAnsi="宋体"/>
          <w:b/>
          <w:sz w:val="28"/>
          <w:szCs w:val="28"/>
          <w:u w:val="single"/>
        </w:rPr>
        <w:t>（签字）</w:t>
      </w:r>
    </w:p>
    <w:p w14:paraId="0EE8FCE1">
      <w:pPr>
        <w:jc w:val="center"/>
        <w:rPr>
          <w:rFonts w:hint="eastAsia" w:ascii="宋体" w:hAnsi="宋体"/>
          <w:b/>
          <w:spacing w:val="20"/>
          <w:sz w:val="28"/>
          <w:szCs w:val="28"/>
        </w:rPr>
      </w:pPr>
      <w:r>
        <w:rPr>
          <w:rFonts w:hint="eastAsia" w:ascii="宋体" w:hAnsi="宋体"/>
          <w:b/>
          <w:spacing w:val="20"/>
          <w:sz w:val="28"/>
          <w:szCs w:val="28"/>
        </w:rPr>
        <w:t xml:space="preserve">                              日期：年 月 日</w:t>
      </w:r>
    </w:p>
    <w:p w14:paraId="1B39FEDC">
      <w:pPr>
        <w:widowControl/>
        <w:jc w:val="left"/>
        <w:rPr>
          <w:rFonts w:hint="eastAsia" w:ascii="新宋体" w:hAnsi="新宋体" w:eastAsia="新宋体" w:cs="宋体"/>
          <w:b/>
          <w:bCs/>
          <w:sz w:val="32"/>
          <w:szCs w:val="32"/>
        </w:rPr>
      </w:pPr>
      <w:r>
        <w:rPr>
          <w:rFonts w:ascii="新宋体" w:hAnsi="新宋体" w:eastAsia="新宋体" w:cs="宋体"/>
          <w:b/>
          <w:bCs/>
          <w:sz w:val="32"/>
          <w:szCs w:val="32"/>
        </w:rPr>
        <w:br w:type="page"/>
      </w:r>
    </w:p>
    <w:p w14:paraId="1AF2FD77">
      <w:pPr>
        <w:jc w:val="left"/>
        <w:rPr>
          <w:rFonts w:hint="eastAsia" w:ascii="宋体" w:hAnsi="宋体"/>
          <w:kern w:val="0"/>
          <w:sz w:val="24"/>
          <w:szCs w:val="24"/>
        </w:rPr>
      </w:pPr>
      <w:r>
        <w:rPr>
          <w:rFonts w:hint="eastAsia" w:ascii="宋体" w:hAnsi="宋体"/>
          <w:b/>
          <w:sz w:val="24"/>
        </w:rPr>
        <w:t>7.投标报价明细表</w:t>
      </w:r>
    </w:p>
    <w:p w14:paraId="76F272E7">
      <w:pPr>
        <w:snapToGrid w:val="0"/>
        <w:spacing w:before="50" w:after="50" w:line="360" w:lineRule="auto"/>
        <w:jc w:val="center"/>
        <w:rPr>
          <w:rFonts w:hint="eastAsia" w:ascii="宋体" w:hAnsi="宋体"/>
          <w:b/>
          <w:sz w:val="36"/>
          <w:szCs w:val="36"/>
        </w:rPr>
      </w:pPr>
      <w:r>
        <w:rPr>
          <w:rFonts w:hint="eastAsia" w:ascii="宋体" w:hAnsi="宋体" w:cs="宋体"/>
          <w:b/>
          <w:kern w:val="0"/>
          <w:sz w:val="36"/>
          <w:szCs w:val="36"/>
        </w:rPr>
        <w:t>投标报价明细表</w:t>
      </w:r>
    </w:p>
    <w:p w14:paraId="4E2EFC5B">
      <w:pPr>
        <w:snapToGrid w:val="0"/>
        <w:spacing w:before="50" w:after="50" w:line="360" w:lineRule="auto"/>
        <w:ind w:firstLine="480" w:firstLineChars="200"/>
        <w:jc w:val="left"/>
        <w:rPr>
          <w:rFonts w:hint="eastAsia" w:ascii="宋体" w:hAnsi="宋体"/>
          <w:sz w:val="24"/>
        </w:rPr>
      </w:pPr>
    </w:p>
    <w:p w14:paraId="7B941362">
      <w:pPr>
        <w:snapToGrid w:val="0"/>
        <w:spacing w:before="50" w:after="50" w:line="360" w:lineRule="auto"/>
        <w:ind w:firstLine="480" w:firstLineChars="200"/>
        <w:jc w:val="left"/>
        <w:rPr>
          <w:rFonts w:hint="eastAsia" w:ascii="宋体" w:hAnsi="宋体"/>
          <w:sz w:val="24"/>
        </w:rPr>
      </w:pPr>
    </w:p>
    <w:p w14:paraId="7AB89F1E">
      <w:pPr>
        <w:snapToGrid w:val="0"/>
        <w:spacing w:before="50" w:after="50" w:line="360" w:lineRule="auto"/>
        <w:ind w:firstLine="480" w:firstLineChars="200"/>
        <w:jc w:val="left"/>
        <w:rPr>
          <w:rFonts w:hint="eastAsia" w:ascii="宋体" w:hAnsi="宋体"/>
          <w:sz w:val="24"/>
        </w:rPr>
      </w:pPr>
    </w:p>
    <w:p w14:paraId="17BD404E">
      <w:pPr>
        <w:snapToGrid w:val="0"/>
        <w:spacing w:before="50" w:after="50" w:line="360" w:lineRule="auto"/>
        <w:ind w:firstLine="480" w:firstLineChars="200"/>
        <w:jc w:val="left"/>
        <w:rPr>
          <w:rFonts w:hint="eastAsia" w:ascii="宋体" w:hAnsi="宋体"/>
          <w:sz w:val="24"/>
        </w:rPr>
      </w:pPr>
    </w:p>
    <w:p w14:paraId="5258B44C">
      <w:pPr>
        <w:snapToGrid w:val="0"/>
        <w:spacing w:before="50" w:after="50" w:line="360" w:lineRule="auto"/>
        <w:ind w:firstLine="562" w:firstLineChars="200"/>
        <w:jc w:val="left"/>
        <w:rPr>
          <w:rFonts w:hint="eastAsia" w:ascii="宋体" w:hAnsi="宋体"/>
          <w:b/>
          <w:sz w:val="28"/>
          <w:szCs w:val="28"/>
        </w:rPr>
      </w:pPr>
      <w:r>
        <w:rPr>
          <w:rFonts w:hint="eastAsia" w:ascii="宋体" w:hAnsi="宋体"/>
          <w:b/>
          <w:sz w:val="28"/>
          <w:szCs w:val="28"/>
        </w:rPr>
        <w:t>本次报价包含材料、人工、管理费、税费等所有费用。总价作为此次投标的评标依据。</w:t>
      </w:r>
    </w:p>
    <w:p w14:paraId="300997C9">
      <w:pPr>
        <w:snapToGrid w:val="0"/>
        <w:spacing w:before="50" w:after="50" w:line="360" w:lineRule="auto"/>
        <w:ind w:firstLine="3120" w:firstLineChars="1300"/>
        <w:rPr>
          <w:rFonts w:hint="eastAsia" w:ascii="宋体" w:hAnsi="宋体"/>
          <w:sz w:val="24"/>
        </w:rPr>
      </w:pPr>
    </w:p>
    <w:p w14:paraId="7B10BB21">
      <w:pPr>
        <w:snapToGrid w:val="0"/>
        <w:spacing w:before="50" w:after="50" w:line="360" w:lineRule="auto"/>
        <w:ind w:firstLine="3654" w:firstLineChars="1300"/>
        <w:rPr>
          <w:rFonts w:hint="eastAsia" w:ascii="宋体" w:hAnsi="宋体"/>
          <w:b/>
          <w:sz w:val="28"/>
          <w:szCs w:val="28"/>
        </w:rPr>
      </w:pPr>
    </w:p>
    <w:p w14:paraId="4BE7DB45">
      <w:pPr>
        <w:snapToGrid w:val="0"/>
        <w:spacing w:before="50" w:after="50" w:line="360" w:lineRule="auto"/>
        <w:rPr>
          <w:rFonts w:hint="eastAsia" w:ascii="宋体" w:hAnsi="宋体"/>
          <w:b/>
          <w:sz w:val="28"/>
          <w:szCs w:val="28"/>
        </w:rPr>
      </w:pPr>
      <w:r>
        <w:rPr>
          <w:rFonts w:hint="eastAsia" w:ascii="宋体" w:hAnsi="宋体"/>
          <w:b/>
          <w:sz w:val="28"/>
          <w:szCs w:val="28"/>
        </w:rPr>
        <w:t>投标单位：___________(</w:t>
      </w:r>
      <w:r>
        <w:rPr>
          <w:rFonts w:hint="eastAsia" w:ascii="宋体" w:hAnsi="宋体"/>
          <w:b/>
          <w:sz w:val="28"/>
          <w:szCs w:val="28"/>
          <w:u w:val="single"/>
        </w:rPr>
        <w:t>盖章)</w:t>
      </w:r>
      <w:r>
        <w:rPr>
          <w:rFonts w:hint="eastAsia" w:ascii="宋体" w:hAnsi="宋体"/>
          <w:b/>
          <w:sz w:val="28"/>
          <w:szCs w:val="28"/>
        </w:rPr>
        <w:t>___________</w:t>
      </w:r>
    </w:p>
    <w:p w14:paraId="18D3D0B1">
      <w:pPr>
        <w:snapToGrid w:val="0"/>
        <w:spacing w:before="50" w:after="50" w:line="360" w:lineRule="auto"/>
        <w:rPr>
          <w:rFonts w:hint="eastAsia" w:ascii="宋体" w:hAnsi="宋体"/>
          <w:b/>
          <w:spacing w:val="20"/>
          <w:sz w:val="28"/>
          <w:szCs w:val="28"/>
          <w:u w:val="single"/>
        </w:rPr>
      </w:pPr>
      <w:r>
        <w:rPr>
          <w:rFonts w:hint="eastAsia" w:ascii="宋体" w:hAnsi="宋体"/>
          <w:b/>
          <w:sz w:val="28"/>
          <w:szCs w:val="28"/>
        </w:rPr>
        <w:t>法定代表人</w:t>
      </w:r>
      <w:r>
        <w:rPr>
          <w:rFonts w:ascii="宋体" w:hAnsi="宋体"/>
          <w:b/>
          <w:sz w:val="28"/>
          <w:szCs w:val="28"/>
        </w:rPr>
        <w:t>或授权委托人</w:t>
      </w:r>
      <w:r>
        <w:rPr>
          <w:rFonts w:hint="eastAsia" w:ascii="宋体" w:hAnsi="宋体"/>
          <w:b/>
          <w:spacing w:val="20"/>
          <w:sz w:val="28"/>
          <w:szCs w:val="28"/>
        </w:rPr>
        <w:t>：</w:t>
      </w:r>
      <w:r>
        <w:rPr>
          <w:rFonts w:hint="eastAsia" w:ascii="宋体" w:hAnsi="宋体"/>
          <w:b/>
          <w:sz w:val="28"/>
          <w:szCs w:val="28"/>
          <w:u w:val="single"/>
        </w:rPr>
        <w:t>（签字）</w:t>
      </w:r>
    </w:p>
    <w:p w14:paraId="10F9DBFD">
      <w:pPr>
        <w:jc w:val="right"/>
        <w:rPr>
          <w:rFonts w:hint="eastAsia" w:ascii="宋体" w:hAnsi="宋体"/>
          <w:b/>
          <w:spacing w:val="20"/>
          <w:sz w:val="28"/>
          <w:szCs w:val="28"/>
        </w:rPr>
      </w:pPr>
      <w:r>
        <w:rPr>
          <w:rFonts w:hint="eastAsia" w:ascii="宋体" w:hAnsi="宋体"/>
          <w:b/>
          <w:spacing w:val="20"/>
          <w:sz w:val="28"/>
          <w:szCs w:val="28"/>
        </w:rPr>
        <w:t>日期：年 月 日</w:t>
      </w:r>
    </w:p>
    <w:p w14:paraId="5C79298A"/>
    <w:p w14:paraId="2F3B688D">
      <w:pPr>
        <w:jc w:val="left"/>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504AC">
    <w:pPr>
      <w:pStyle w:val="1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A009F">
    <w:pPr>
      <w:pStyle w:val="18"/>
      <w:framePr w:wrap="around" w:vAnchor="text" w:hAnchor="margin" w:xAlign="outside" w:y="1"/>
      <w:rPr>
        <w:rStyle w:val="25"/>
      </w:rPr>
    </w:pPr>
    <w:r>
      <w:fldChar w:fldCharType="begin"/>
    </w:r>
    <w:r>
      <w:rPr>
        <w:rStyle w:val="25"/>
      </w:rPr>
      <w:instrText xml:space="preserve">PAGE  </w:instrText>
    </w:r>
    <w:r>
      <w:fldChar w:fldCharType="end"/>
    </w:r>
  </w:p>
  <w:p w14:paraId="12A6A417">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DC8AB">
    <w:pPr>
      <w:pStyle w:val="18"/>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4C3A151">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24C3A151">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62791">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00000003"/>
    <w:multiLevelType w:val="singleLevel"/>
    <w:tmpl w:val="00000003"/>
    <w:lvl w:ilvl="0" w:tentative="0">
      <w:start w:val="7"/>
      <w:numFmt w:val="chineseCounting"/>
      <w:suff w:val="space"/>
      <w:lvlText w:val="第%1条"/>
      <w:lvlJc w:val="left"/>
      <w:rPr>
        <w:rFonts w:hint="eastAsia"/>
      </w:rPr>
    </w:lvl>
  </w:abstractNum>
  <w:abstractNum w:abstractNumId="3">
    <w:nsid w:val="00000004"/>
    <w:multiLevelType w:val="singleLevel"/>
    <w:tmpl w:val="00000004"/>
    <w:lvl w:ilvl="0" w:tentative="0">
      <w:start w:val="1"/>
      <w:numFmt w:val="decimal"/>
      <w:suff w:val="nothing"/>
      <w:lvlText w:val="%1、"/>
      <w:lvlJc w:val="left"/>
    </w:lvl>
  </w:abstractNum>
  <w:abstractNum w:abstractNumId="4">
    <w:nsid w:val="00000005"/>
    <w:multiLevelType w:val="singleLevel"/>
    <w:tmpl w:val="00000005"/>
    <w:lvl w:ilvl="0" w:tentative="0">
      <w:start w:val="1"/>
      <w:numFmt w:val="decimal"/>
      <w:suff w:val="nothing"/>
      <w:lvlText w:val="%1、"/>
      <w:lvlJc w:val="left"/>
    </w:lvl>
  </w:abstractNum>
  <w:abstractNum w:abstractNumId="5">
    <w:nsid w:val="00000006"/>
    <w:multiLevelType w:val="singleLevel"/>
    <w:tmpl w:val="00000006"/>
    <w:lvl w:ilvl="0" w:tentative="0">
      <w:start w:val="1"/>
      <w:numFmt w:val="decimal"/>
      <w:suff w:val="nothing"/>
      <w:lvlText w:val="%1、"/>
      <w:lvlJc w:val="left"/>
    </w:lvl>
  </w:abstractNum>
  <w:abstractNum w:abstractNumId="6">
    <w:nsid w:val="00000007"/>
    <w:multiLevelType w:val="singleLevel"/>
    <w:tmpl w:val="00000007"/>
    <w:lvl w:ilvl="0" w:tentative="0">
      <w:start w:val="1"/>
      <w:numFmt w:val="chineseCounting"/>
      <w:pStyle w:val="5"/>
      <w:suff w:val="nothing"/>
      <w:lvlText w:val="%1、"/>
      <w:lvlJc w:val="left"/>
      <w:pPr>
        <w:ind w:left="0" w:firstLine="420"/>
      </w:pPr>
      <w:rPr>
        <w:rFonts w:hint="eastAsia"/>
      </w:rPr>
    </w:lvl>
  </w:abstractNum>
  <w:abstractNum w:abstractNumId="7">
    <w:nsid w:val="00000009"/>
    <w:multiLevelType w:val="singleLevel"/>
    <w:tmpl w:val="00000009"/>
    <w:lvl w:ilvl="0" w:tentative="0">
      <w:start w:val="2"/>
      <w:numFmt w:val="chineseCounting"/>
      <w:suff w:val="nothing"/>
      <w:lvlText w:val="%1、"/>
      <w:lvlJc w:val="left"/>
      <w:rPr>
        <w:rFonts w:hint="eastAsia"/>
      </w:rPr>
    </w:lvl>
  </w:abstractNum>
  <w:abstractNum w:abstractNumId="8">
    <w:nsid w:val="0000000B"/>
    <w:multiLevelType w:val="multilevel"/>
    <w:tmpl w:val="0000000B"/>
    <w:lvl w:ilvl="0" w:tentative="0">
      <w:start w:val="1"/>
      <w:numFmt w:val="chineseCountingThousand"/>
      <w:suff w:val="space"/>
      <w:lvlText w:val="第%1章"/>
      <w:lvlJc w:val="left"/>
      <w:pPr>
        <w:ind w:left="1986" w:firstLine="0"/>
      </w:pPr>
      <w:rPr>
        <w:rFonts w:hint="eastAsia" w:ascii="微软雅黑" w:hAnsi="微软雅黑" w:eastAsia="微软雅黑"/>
      </w:rPr>
    </w:lvl>
    <w:lvl w:ilvl="1" w:tentative="0">
      <w:start w:val="1"/>
      <w:numFmt w:val="decimal"/>
      <w:isLgl/>
      <w:suff w:val="space"/>
      <w:lvlText w:val="%1.%2"/>
      <w:lvlJc w:val="left"/>
      <w:pPr>
        <w:ind w:left="0" w:firstLine="0"/>
      </w:pPr>
      <w:rPr>
        <w:rFonts w:hint="eastAsia" w:ascii="微软雅黑" w:hAnsi="微软雅黑" w:eastAsia="微软雅黑"/>
      </w:rPr>
    </w:lvl>
    <w:lvl w:ilvl="2" w:tentative="0">
      <w:start w:val="1"/>
      <w:numFmt w:val="decimal"/>
      <w:pStyle w:val="8"/>
      <w:isLgl/>
      <w:suff w:val="space"/>
      <w:lvlText w:val="%1.%2.%3"/>
      <w:lvlJc w:val="left"/>
      <w:pPr>
        <w:ind w:left="0" w:firstLine="0"/>
      </w:pPr>
      <w:rPr>
        <w:rFonts w:hint="eastAsia" w:ascii="微软雅黑" w:hAnsi="微软雅黑" w:eastAsia="微软雅黑"/>
        <w:b/>
        <w:bCs/>
      </w:rPr>
    </w:lvl>
    <w:lvl w:ilvl="3" w:tentative="0">
      <w:start w:val="1"/>
      <w:numFmt w:val="decimal"/>
      <w:isLgl/>
      <w:suff w:val="space"/>
      <w:lvlText w:val="%1.%2.%3.%4"/>
      <w:lvlJc w:val="left"/>
      <w:pPr>
        <w:ind w:left="0" w:firstLine="0"/>
      </w:pPr>
      <w:rPr>
        <w:rFonts w:hint="eastAsia" w:ascii="微软雅黑" w:hAnsi="微软雅黑" w:eastAsia="微软雅黑"/>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
    <w:nsid w:val="0000000C"/>
    <w:multiLevelType w:val="singleLevel"/>
    <w:tmpl w:val="0000000C"/>
    <w:lvl w:ilvl="0" w:tentative="0">
      <w:start w:val="5"/>
      <w:numFmt w:val="chineseCounting"/>
      <w:suff w:val="nothing"/>
      <w:lvlText w:val="第%1章　"/>
      <w:lvlJc w:val="left"/>
      <w:rPr>
        <w:rFonts w:hint="eastAsia"/>
      </w:rPr>
    </w:lvl>
  </w:abstractNum>
  <w:abstractNum w:abstractNumId="10">
    <w:nsid w:val="0000000D"/>
    <w:multiLevelType w:val="singleLevel"/>
    <w:tmpl w:val="0000000D"/>
    <w:lvl w:ilvl="0" w:tentative="0">
      <w:start w:val="1"/>
      <w:numFmt w:val="decimal"/>
      <w:suff w:val="nothing"/>
      <w:lvlText w:val="%1、"/>
      <w:lvlJc w:val="left"/>
    </w:lvl>
  </w:abstractNum>
  <w:abstractNum w:abstractNumId="11">
    <w:nsid w:val="0000000F"/>
    <w:multiLevelType w:val="singleLevel"/>
    <w:tmpl w:val="0000000F"/>
    <w:lvl w:ilvl="0" w:tentative="0">
      <w:start w:val="1"/>
      <w:numFmt w:val="decimal"/>
      <w:suff w:val="nothing"/>
      <w:lvlText w:val="%1、"/>
      <w:lvlJc w:val="left"/>
    </w:lvl>
  </w:abstractNum>
  <w:abstractNum w:abstractNumId="12">
    <w:nsid w:val="00000010"/>
    <w:multiLevelType w:val="singleLevel"/>
    <w:tmpl w:val="00000010"/>
    <w:lvl w:ilvl="0" w:tentative="0">
      <w:start w:val="1"/>
      <w:numFmt w:val="chineseCounting"/>
      <w:suff w:val="nothing"/>
      <w:lvlText w:val="%1."/>
      <w:lvlJc w:val="left"/>
    </w:lvl>
  </w:abstractNum>
  <w:num w:numId="1">
    <w:abstractNumId w:val="6"/>
  </w:num>
  <w:num w:numId="2">
    <w:abstractNumId w:val="8"/>
  </w:num>
  <w:num w:numId="3">
    <w:abstractNumId w:val="12"/>
  </w:num>
  <w:num w:numId="4">
    <w:abstractNumId w:val="7"/>
  </w:num>
  <w:num w:numId="5">
    <w:abstractNumId w:val="1"/>
  </w:num>
  <w:num w:numId="6">
    <w:abstractNumId w:val="5"/>
  </w:num>
  <w:num w:numId="7">
    <w:abstractNumId w:val="0"/>
  </w:num>
  <w:num w:numId="8">
    <w:abstractNumId w:val="4"/>
  </w:num>
  <w:num w:numId="9">
    <w:abstractNumId w:val="11"/>
  </w:num>
  <w:num w:numId="10">
    <w:abstractNumId w:val="10"/>
  </w:num>
  <w:num w:numId="11">
    <w:abstractNumId w:val="3"/>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32E5F78"/>
    <w:rsid w:val="03F64AF3"/>
    <w:rsid w:val="0ADB0F46"/>
    <w:rsid w:val="0BE91440"/>
    <w:rsid w:val="0C560A4C"/>
    <w:rsid w:val="0C6C026A"/>
    <w:rsid w:val="0E5C239D"/>
    <w:rsid w:val="12977626"/>
    <w:rsid w:val="19510E82"/>
    <w:rsid w:val="1A4A39F2"/>
    <w:rsid w:val="1B650AE3"/>
    <w:rsid w:val="1BB01602"/>
    <w:rsid w:val="23663F47"/>
    <w:rsid w:val="25535627"/>
    <w:rsid w:val="266B0F78"/>
    <w:rsid w:val="26BC7A25"/>
    <w:rsid w:val="28724840"/>
    <w:rsid w:val="2D360531"/>
    <w:rsid w:val="2EBC4A66"/>
    <w:rsid w:val="2F4862FA"/>
    <w:rsid w:val="2FA8323D"/>
    <w:rsid w:val="33B20EEA"/>
    <w:rsid w:val="377E4FAF"/>
    <w:rsid w:val="37CF504A"/>
    <w:rsid w:val="393873DF"/>
    <w:rsid w:val="397E52F8"/>
    <w:rsid w:val="3AF074CA"/>
    <w:rsid w:val="3DEB0EC4"/>
    <w:rsid w:val="3E18158D"/>
    <w:rsid w:val="404D19C2"/>
    <w:rsid w:val="4202058A"/>
    <w:rsid w:val="43B41D58"/>
    <w:rsid w:val="448E07FB"/>
    <w:rsid w:val="454F65F4"/>
    <w:rsid w:val="4779309D"/>
    <w:rsid w:val="4A7F4E6E"/>
    <w:rsid w:val="4B272076"/>
    <w:rsid w:val="4B4E4840"/>
    <w:rsid w:val="4DC94652"/>
    <w:rsid w:val="4F624D5E"/>
    <w:rsid w:val="4F73413B"/>
    <w:rsid w:val="500E24A0"/>
    <w:rsid w:val="501C0F92"/>
    <w:rsid w:val="50D33427"/>
    <w:rsid w:val="53F536B6"/>
    <w:rsid w:val="5AE42ACB"/>
    <w:rsid w:val="5CD526CC"/>
    <w:rsid w:val="5D380EAD"/>
    <w:rsid w:val="5E5D506F"/>
    <w:rsid w:val="612B1454"/>
    <w:rsid w:val="61E62738"/>
    <w:rsid w:val="63D95197"/>
    <w:rsid w:val="6B2400BF"/>
    <w:rsid w:val="6BAE515B"/>
    <w:rsid w:val="6D0B1173"/>
    <w:rsid w:val="6DD35492"/>
    <w:rsid w:val="6E4C0C5C"/>
    <w:rsid w:val="704936A5"/>
    <w:rsid w:val="716167CC"/>
    <w:rsid w:val="731B5902"/>
    <w:rsid w:val="7326002D"/>
    <w:rsid w:val="73DB2866"/>
    <w:rsid w:val="79554E68"/>
    <w:rsid w:val="7A6217DB"/>
    <w:rsid w:val="7D690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99"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5">
    <w:name w:val="heading 1"/>
    <w:basedOn w:val="1"/>
    <w:next w:val="1"/>
    <w:qFormat/>
    <w:uiPriority w:val="0"/>
    <w:pPr>
      <w:numPr>
        <w:ilvl w:val="0"/>
        <w:numId w:val="1"/>
      </w:numPr>
      <w:spacing w:before="100" w:beforeAutospacing="1" w:after="100" w:afterAutospacing="1"/>
      <w:jc w:val="left"/>
      <w:outlineLvl w:val="0"/>
    </w:pPr>
    <w:rPr>
      <w:rFonts w:hint="eastAsia" w:ascii="宋体" w:hAnsi="宋体" w:cs="Times New Roman"/>
      <w:b/>
      <w:bCs/>
      <w:kern w:val="44"/>
      <w:sz w:val="32"/>
      <w:szCs w:val="48"/>
    </w:rPr>
  </w:style>
  <w:style w:type="paragraph" w:styleId="6">
    <w:name w:val="heading 2"/>
    <w:basedOn w:val="1"/>
    <w:next w:val="7"/>
    <w:link w:val="38"/>
    <w:qFormat/>
    <w:uiPriority w:val="0"/>
    <w:pPr>
      <w:keepNext/>
      <w:keepLines/>
      <w:spacing w:before="260" w:after="260" w:line="416" w:lineRule="auto"/>
      <w:outlineLvl w:val="1"/>
    </w:pPr>
    <w:rPr>
      <w:rFonts w:ascii="Arial" w:hAnsi="Arial" w:eastAsia="黑体" w:cs="Times New Roman"/>
      <w:b/>
      <w:bCs/>
      <w:sz w:val="32"/>
      <w:szCs w:val="32"/>
    </w:rPr>
  </w:style>
  <w:style w:type="paragraph" w:styleId="8">
    <w:name w:val="heading 3"/>
    <w:basedOn w:val="1"/>
    <w:next w:val="1"/>
    <w:qFormat/>
    <w:uiPriority w:val="9"/>
    <w:pPr>
      <w:keepNext/>
      <w:keepLines/>
      <w:numPr>
        <w:ilvl w:val="2"/>
        <w:numId w:val="2"/>
      </w:numPr>
      <w:spacing w:before="260" w:after="260" w:line="415" w:lineRule="auto"/>
      <w:outlineLvl w:val="2"/>
    </w:pPr>
    <w:rPr>
      <w:b/>
      <w:bCs/>
      <w:sz w:val="30"/>
      <w:szCs w:val="32"/>
    </w:rPr>
  </w:style>
  <w:style w:type="paragraph" w:styleId="9">
    <w:name w:val="heading 4"/>
    <w:basedOn w:val="1"/>
    <w:next w:val="1"/>
    <w:qFormat/>
    <w:uiPriority w:val="9"/>
    <w:pPr>
      <w:widowControl/>
      <w:spacing w:before="100" w:beforeAutospacing="1" w:after="100" w:afterAutospacing="1"/>
      <w:jc w:val="left"/>
      <w:outlineLvl w:val="3"/>
    </w:pPr>
    <w:rPr>
      <w:rFonts w:ascii="宋体" w:hAnsi="宋体" w:cs="宋体"/>
      <w:b/>
      <w:bCs/>
      <w:kern w:val="0"/>
      <w:sz w:val="24"/>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tabs>
        <w:tab w:val="left" w:pos="208"/>
      </w:tabs>
      <w:ind w:firstLine="420" w:firstLineChars="100"/>
    </w:pPr>
  </w:style>
  <w:style w:type="paragraph" w:styleId="3">
    <w:name w:val="Body Text"/>
    <w:basedOn w:val="1"/>
    <w:next w:val="2"/>
    <w:qFormat/>
    <w:uiPriority w:val="0"/>
  </w:style>
  <w:style w:type="paragraph" w:styleId="4">
    <w:name w:val="toc 6"/>
    <w:basedOn w:val="1"/>
    <w:next w:val="1"/>
    <w:qFormat/>
    <w:uiPriority w:val="39"/>
    <w:pPr>
      <w:ind w:left="1050"/>
      <w:jc w:val="left"/>
    </w:pPr>
    <w:rPr>
      <w:sz w:val="18"/>
      <w:szCs w:val="18"/>
    </w:rPr>
  </w:style>
  <w:style w:type="paragraph" w:customStyle="1" w:styleId="7">
    <w:name w:val="段落"/>
    <w:qFormat/>
    <w:uiPriority w:val="0"/>
    <w:pPr>
      <w:wordWrap w:val="0"/>
      <w:overflowPunct w:val="0"/>
      <w:topLinePunct/>
      <w:spacing w:before="50" w:beforeLines="50" w:after="50" w:afterLines="50" w:line="360" w:lineRule="auto"/>
      <w:ind w:firstLine="200" w:firstLineChars="200"/>
    </w:pPr>
    <w:rPr>
      <w:rFonts w:ascii="仿宋_GB2312" w:hAnsi="等线" w:eastAsia="仿宋_GB2312" w:cs="Times New Roman"/>
      <w:kern w:val="2"/>
      <w:sz w:val="24"/>
      <w:szCs w:val="24"/>
      <w:lang w:val="en-US" w:eastAsia="zh-CN" w:bidi="ar-SA"/>
    </w:rPr>
  </w:style>
  <w:style w:type="paragraph" w:styleId="10">
    <w:name w:val="List Number 2"/>
    <w:basedOn w:val="1"/>
    <w:qFormat/>
    <w:uiPriority w:val="0"/>
    <w:pPr>
      <w:tabs>
        <w:tab w:val="left" w:pos="780"/>
      </w:tabs>
      <w:ind w:left="780" w:hanging="360"/>
    </w:pPr>
    <w:rPr>
      <w:rFonts w:cs="Times New Roman"/>
      <w:szCs w:val="24"/>
    </w:rPr>
  </w:style>
  <w:style w:type="paragraph" w:styleId="11">
    <w:name w:val="Normal Indent"/>
    <w:basedOn w:val="1"/>
    <w:next w:val="1"/>
    <w:link w:val="42"/>
    <w:qFormat/>
    <w:uiPriority w:val="99"/>
    <w:pPr>
      <w:ind w:firstLine="420"/>
    </w:pPr>
    <w:rPr>
      <w:rFonts w:ascii="Times New Roman" w:hAnsi="Times New Roman" w:cs="Times New Roman"/>
      <w:kern w:val="0"/>
      <w:sz w:val="20"/>
      <w:szCs w:val="20"/>
    </w:rPr>
  </w:style>
  <w:style w:type="paragraph" w:styleId="12">
    <w:name w:val="annotation text"/>
    <w:basedOn w:val="1"/>
    <w:qFormat/>
    <w:uiPriority w:val="0"/>
    <w:pPr>
      <w:jc w:val="left"/>
    </w:pPr>
  </w:style>
  <w:style w:type="paragraph" w:styleId="13">
    <w:name w:val="Body Text Indent"/>
    <w:basedOn w:val="1"/>
    <w:link w:val="39"/>
    <w:qFormat/>
    <w:uiPriority w:val="0"/>
    <w:pPr>
      <w:spacing w:line="200" w:lineRule="exact"/>
      <w:ind w:firstLine="301"/>
    </w:pPr>
    <w:rPr>
      <w:rFonts w:ascii="宋体" w:hAnsi="Courier New" w:cs="Times New Roman"/>
      <w:spacing w:val="-4"/>
      <w:sz w:val="18"/>
      <w:szCs w:val="20"/>
    </w:rPr>
  </w:style>
  <w:style w:type="paragraph" w:styleId="14">
    <w:name w:val="Block Text"/>
    <w:basedOn w:val="1"/>
    <w:qFormat/>
    <w:uiPriority w:val="0"/>
    <w:pPr>
      <w:widowControl/>
      <w:tabs>
        <w:tab w:val="left" w:pos="2880"/>
      </w:tabs>
      <w:spacing w:line="360" w:lineRule="auto"/>
      <w:ind w:left="2880" w:hanging="420"/>
      <w:jc w:val="left"/>
    </w:pPr>
    <w:rPr>
      <w:rFonts w:ascii="Arial" w:hAnsi="Arial"/>
      <w:kern w:val="0"/>
      <w:sz w:val="18"/>
      <w:szCs w:val="20"/>
      <w:lang w:eastAsia="en-US"/>
    </w:rPr>
  </w:style>
  <w:style w:type="paragraph" w:styleId="15">
    <w:name w:val="Plain Text"/>
    <w:basedOn w:val="1"/>
    <w:link w:val="43"/>
    <w:qFormat/>
    <w:uiPriority w:val="0"/>
    <w:pPr>
      <w:spacing w:beforeLines="50" w:afterLines="50" w:line="400" w:lineRule="exact"/>
    </w:pPr>
    <w:rPr>
      <w:rFonts w:ascii="宋体" w:hAnsi="Courier New" w:cs="Times New Roman"/>
      <w:kern w:val="0"/>
      <w:sz w:val="24"/>
      <w:szCs w:val="24"/>
    </w:rPr>
  </w:style>
  <w:style w:type="paragraph" w:styleId="16">
    <w:name w:val="Date"/>
    <w:basedOn w:val="1"/>
    <w:next w:val="1"/>
    <w:link w:val="47"/>
    <w:qFormat/>
    <w:uiPriority w:val="0"/>
    <w:pPr>
      <w:ind w:left="100" w:leftChars="2500"/>
    </w:pPr>
  </w:style>
  <w:style w:type="paragraph" w:styleId="17">
    <w:name w:val="Balloon Text"/>
    <w:basedOn w:val="1"/>
    <w:link w:val="45"/>
    <w:qFormat/>
    <w:uiPriority w:val="99"/>
    <w:rPr>
      <w:sz w:val="18"/>
      <w:szCs w:val="18"/>
    </w:rPr>
  </w:style>
  <w:style w:type="paragraph" w:styleId="18">
    <w:name w:val="footer"/>
    <w:basedOn w:val="1"/>
    <w:link w:val="37"/>
    <w:qFormat/>
    <w:uiPriority w:val="0"/>
    <w:pPr>
      <w:tabs>
        <w:tab w:val="center" w:pos="4153"/>
        <w:tab w:val="right" w:pos="8306"/>
      </w:tabs>
      <w:snapToGrid w:val="0"/>
      <w:jc w:val="left"/>
    </w:pPr>
    <w:rPr>
      <w:sz w:val="18"/>
      <w:szCs w:val="18"/>
    </w:rPr>
  </w:style>
  <w:style w:type="paragraph" w:styleId="19">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20">
    <w:name w:val="Normal (Web)"/>
    <w:basedOn w:val="1"/>
    <w:qFormat/>
    <w:uiPriority w:val="99"/>
    <w:pPr>
      <w:widowControl/>
      <w:spacing w:before="100" w:beforeAutospacing="1" w:after="100" w:afterAutospacing="1"/>
      <w:jc w:val="left"/>
    </w:pPr>
    <w:rPr>
      <w:rFonts w:ascii="宋体" w:hAnsi="宋体" w:cs="Times New Roman"/>
      <w:color w:val="000000"/>
      <w:kern w:val="0"/>
      <w:sz w:val="24"/>
      <w:szCs w:val="24"/>
    </w:rPr>
  </w:style>
  <w:style w:type="paragraph" w:styleId="21">
    <w:name w:val="Title"/>
    <w:basedOn w:val="1"/>
    <w:next w:val="1"/>
    <w:link w:val="41"/>
    <w:qFormat/>
    <w:uiPriority w:val="0"/>
    <w:pPr>
      <w:spacing w:line="520" w:lineRule="exact"/>
      <w:jc w:val="center"/>
      <w:outlineLvl w:val="3"/>
    </w:pPr>
    <w:rPr>
      <w:rFonts w:ascii="Cambria" w:hAnsi="Cambria" w:cs="Times New Roman"/>
      <w:b/>
      <w:bCs/>
      <w:sz w:val="28"/>
      <w:szCs w:val="32"/>
    </w:rPr>
  </w:style>
  <w:style w:type="table" w:styleId="23">
    <w:name w:val="Table Grid"/>
    <w:basedOn w:val="2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
    <w:name w:val="page number"/>
    <w:basedOn w:val="24"/>
    <w:qFormat/>
    <w:uiPriority w:val="0"/>
  </w:style>
  <w:style w:type="character" w:styleId="26">
    <w:name w:val="HTML Sample"/>
    <w:basedOn w:val="24"/>
    <w:qFormat/>
    <w:uiPriority w:val="99"/>
    <w:rPr>
      <w:rFonts w:ascii="宋体" w:hAnsi="宋体" w:eastAsia="宋体" w:cs="宋体"/>
    </w:rPr>
  </w:style>
  <w:style w:type="paragraph" w:customStyle="1" w:styleId="2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8">
    <w:name w:val="纯文本1"/>
    <w:basedOn w:val="29"/>
    <w:qFormat/>
    <w:uiPriority w:val="0"/>
    <w:pPr>
      <w:widowControl/>
      <w:jc w:val="left"/>
    </w:pPr>
    <w:rPr>
      <w:rFonts w:ascii="宋体" w:hAnsi="Courier New"/>
    </w:rPr>
  </w:style>
  <w:style w:type="paragraph" w:customStyle="1" w:styleId="29">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0">
    <w:name w:val="正文2"/>
    <w:basedOn w:val="1"/>
    <w:link w:val="44"/>
    <w:qFormat/>
    <w:uiPriority w:val="0"/>
    <w:pPr>
      <w:spacing w:before="156" w:line="360" w:lineRule="auto"/>
      <w:ind w:firstLine="510" w:firstLineChars="200"/>
    </w:pPr>
    <w:rPr>
      <w:rFonts w:cs="Times New Roman"/>
      <w:sz w:val="24"/>
      <w:szCs w:val="20"/>
    </w:rPr>
  </w:style>
  <w:style w:type="paragraph" w:customStyle="1" w:styleId="31">
    <w:name w:val="列出段落1"/>
    <w:basedOn w:val="1"/>
    <w:qFormat/>
    <w:uiPriority w:val="34"/>
    <w:pPr>
      <w:ind w:firstLine="420" w:firstLineChars="200"/>
    </w:pPr>
  </w:style>
  <w:style w:type="paragraph" w:customStyle="1" w:styleId="32">
    <w:name w:val="Table Paragraph"/>
    <w:basedOn w:val="1"/>
    <w:qFormat/>
    <w:uiPriority w:val="1"/>
    <w:pPr>
      <w:autoSpaceDE w:val="0"/>
      <w:autoSpaceDN w:val="0"/>
      <w:jc w:val="left"/>
    </w:pPr>
    <w:rPr>
      <w:rFonts w:ascii="宋体" w:hAnsi="宋体" w:cs="宋体"/>
      <w:kern w:val="0"/>
      <w:sz w:val="22"/>
      <w:lang w:eastAsia="en-US"/>
    </w:rPr>
  </w:style>
  <w:style w:type="paragraph" w:customStyle="1" w:styleId="33">
    <w:name w:val="列表段落1"/>
    <w:basedOn w:val="1"/>
    <w:qFormat/>
    <w:uiPriority w:val="34"/>
    <w:pPr>
      <w:ind w:firstLine="420" w:firstLineChars="200"/>
    </w:pPr>
  </w:style>
  <w:style w:type="paragraph" w:customStyle="1" w:styleId="34">
    <w:name w:val="p0"/>
    <w:basedOn w:val="1"/>
    <w:qFormat/>
    <w:uiPriority w:val="0"/>
    <w:pPr>
      <w:widowControl/>
    </w:pPr>
    <w:rPr>
      <w:kern w:val="0"/>
      <w:szCs w:val="21"/>
    </w:rPr>
  </w:style>
  <w:style w:type="paragraph" w:customStyle="1" w:styleId="35">
    <w:name w:val="标准正文格式"/>
    <w:basedOn w:val="1"/>
    <w:qFormat/>
    <w:uiPriority w:val="0"/>
    <w:pPr>
      <w:widowControl/>
      <w:adjustRightInd w:val="0"/>
      <w:spacing w:before="60" w:after="120" w:line="360" w:lineRule="auto"/>
      <w:ind w:firstLine="200" w:firstLineChars="200"/>
      <w:textAlignment w:val="baseline"/>
    </w:pPr>
    <w:rPr>
      <w:rFonts w:ascii="宋体" w:eastAsia="仿宋_GB2312" w:cs="宋体"/>
      <w:color w:val="000000"/>
      <w:sz w:val="24"/>
    </w:rPr>
  </w:style>
  <w:style w:type="character" w:customStyle="1" w:styleId="36">
    <w:name w:val="页眉 字符"/>
    <w:basedOn w:val="24"/>
    <w:link w:val="19"/>
    <w:qFormat/>
    <w:uiPriority w:val="99"/>
    <w:rPr>
      <w:sz w:val="18"/>
      <w:szCs w:val="18"/>
    </w:rPr>
  </w:style>
  <w:style w:type="character" w:customStyle="1" w:styleId="37">
    <w:name w:val="页脚 字符"/>
    <w:basedOn w:val="24"/>
    <w:link w:val="18"/>
    <w:qFormat/>
    <w:uiPriority w:val="0"/>
    <w:rPr>
      <w:sz w:val="18"/>
      <w:szCs w:val="18"/>
    </w:rPr>
  </w:style>
  <w:style w:type="character" w:customStyle="1" w:styleId="38">
    <w:name w:val="标题 2 字符"/>
    <w:basedOn w:val="24"/>
    <w:link w:val="6"/>
    <w:qFormat/>
    <w:uiPriority w:val="0"/>
    <w:rPr>
      <w:rFonts w:ascii="Arial" w:hAnsi="Arial" w:eastAsia="黑体" w:cs="Times New Roman"/>
      <w:b/>
      <w:bCs/>
      <w:sz w:val="32"/>
      <w:szCs w:val="32"/>
    </w:rPr>
  </w:style>
  <w:style w:type="character" w:customStyle="1" w:styleId="39">
    <w:name w:val="正文文本缩进 字符"/>
    <w:basedOn w:val="24"/>
    <w:link w:val="13"/>
    <w:qFormat/>
    <w:uiPriority w:val="0"/>
    <w:rPr>
      <w:rFonts w:ascii="宋体" w:hAnsi="Courier New" w:eastAsia="宋体" w:cs="Times New Roman"/>
      <w:spacing w:val="-4"/>
      <w:sz w:val="18"/>
      <w:szCs w:val="20"/>
    </w:rPr>
  </w:style>
  <w:style w:type="character" w:customStyle="1" w:styleId="40">
    <w:name w:val="纯文本 Char"/>
    <w:basedOn w:val="24"/>
    <w:qFormat/>
    <w:uiPriority w:val="99"/>
    <w:rPr>
      <w:rFonts w:ascii="宋体" w:hAnsi="Courier New" w:eastAsia="宋体" w:cs="Courier New"/>
      <w:szCs w:val="21"/>
    </w:rPr>
  </w:style>
  <w:style w:type="character" w:customStyle="1" w:styleId="41">
    <w:name w:val="标题 字符"/>
    <w:basedOn w:val="24"/>
    <w:link w:val="21"/>
    <w:qFormat/>
    <w:uiPriority w:val="0"/>
    <w:rPr>
      <w:rFonts w:ascii="Cambria" w:hAnsi="Cambria" w:eastAsia="宋体" w:cs="Times New Roman"/>
      <w:b/>
      <w:bCs/>
      <w:sz w:val="28"/>
      <w:szCs w:val="32"/>
    </w:rPr>
  </w:style>
  <w:style w:type="character" w:customStyle="1" w:styleId="42">
    <w:name w:val="正文缩进 字符"/>
    <w:link w:val="11"/>
    <w:qFormat/>
    <w:uiPriority w:val="99"/>
    <w:rPr>
      <w:rFonts w:ascii="Times New Roman" w:hAnsi="Times New Roman" w:eastAsia="宋体" w:cs="Times New Roman"/>
      <w:kern w:val="0"/>
      <w:sz w:val="20"/>
      <w:szCs w:val="20"/>
    </w:rPr>
  </w:style>
  <w:style w:type="character" w:customStyle="1" w:styleId="43">
    <w:name w:val="纯文本 字符"/>
    <w:link w:val="15"/>
    <w:qFormat/>
    <w:uiPriority w:val="0"/>
    <w:rPr>
      <w:rFonts w:ascii="宋体" w:hAnsi="Courier New" w:eastAsia="宋体" w:cs="Times New Roman"/>
      <w:kern w:val="0"/>
      <w:sz w:val="24"/>
      <w:szCs w:val="24"/>
    </w:rPr>
  </w:style>
  <w:style w:type="character" w:customStyle="1" w:styleId="44">
    <w:name w:val="正文2 字符"/>
    <w:basedOn w:val="24"/>
    <w:link w:val="30"/>
    <w:qFormat/>
    <w:uiPriority w:val="0"/>
    <w:rPr>
      <w:rFonts w:ascii="Calibri" w:hAnsi="Calibri" w:eastAsia="宋体" w:cs="Times New Roman"/>
      <w:sz w:val="24"/>
      <w:szCs w:val="20"/>
    </w:rPr>
  </w:style>
  <w:style w:type="character" w:customStyle="1" w:styleId="45">
    <w:name w:val="批注框文本 字符"/>
    <w:basedOn w:val="24"/>
    <w:link w:val="17"/>
    <w:qFormat/>
    <w:uiPriority w:val="99"/>
    <w:rPr>
      <w:sz w:val="18"/>
      <w:szCs w:val="18"/>
    </w:rPr>
  </w:style>
  <w:style w:type="character" w:customStyle="1" w:styleId="46">
    <w:name w:val="正文2 Char"/>
    <w:qFormat/>
    <w:uiPriority w:val="0"/>
    <w:rPr>
      <w:rFonts w:ascii="Calibri" w:hAnsi="Calibri"/>
      <w:kern w:val="2"/>
      <w:sz w:val="24"/>
    </w:rPr>
  </w:style>
  <w:style w:type="character" w:customStyle="1" w:styleId="47">
    <w:name w:val="日期 字符"/>
    <w:basedOn w:val="24"/>
    <w:link w:val="16"/>
    <w:qFormat/>
    <w:uiPriority w:val="0"/>
    <w:rPr>
      <w:rFonts w:ascii="Calibri" w:hAnsi="Calibri" w:cs="黑体"/>
      <w:kern w:val="2"/>
      <w:sz w:val="21"/>
      <w:szCs w:val="22"/>
    </w:rPr>
  </w:style>
  <w:style w:type="character" w:customStyle="1" w:styleId="48">
    <w:name w:val="font01"/>
    <w:basedOn w:val="24"/>
    <w:qFormat/>
    <w:uiPriority w:val="0"/>
    <w:rPr>
      <w:rFonts w:hint="eastAsia" w:ascii="宋体" w:hAnsi="宋体" w:eastAsia="宋体" w:cs="宋体"/>
      <w:color w:val="000000"/>
      <w:sz w:val="24"/>
      <w:szCs w:val="24"/>
      <w:u w:val="none"/>
    </w:rPr>
  </w:style>
  <w:style w:type="character" w:customStyle="1" w:styleId="49">
    <w:name w:val="正文标题"/>
    <w:qFormat/>
    <w:uiPriority w:val="0"/>
    <w:rPr>
      <w:rFonts w:ascii="黑体" w:eastAsia="黑体"/>
      <w:b/>
      <w:color w:val="auto"/>
      <w:sz w:val="21"/>
      <w:u w:val="none"/>
    </w:rPr>
  </w:style>
  <w:style w:type="table" w:customStyle="1" w:styleId="50">
    <w:name w:val="Table Normal"/>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51">
    <w:name w:val="正文样式"/>
    <w:basedOn w:val="1"/>
    <w:qFormat/>
    <w:uiPriority w:val="0"/>
    <w:pPr>
      <w:spacing w:beforeLines="50" w:line="312" w:lineRule="auto"/>
      <w:ind w:firstLine="200" w:firstLineChars="200"/>
    </w:pPr>
    <w:rPr>
      <w:sz w:val="24"/>
    </w:rPr>
  </w:style>
  <w:style w:type="paragraph" w:customStyle="1" w:styleId="52">
    <w:name w:val="修订1"/>
    <w:qFormat/>
    <w:uiPriority w:val="99"/>
    <w:rPr>
      <w:rFonts w:ascii="Calibri" w:hAnsi="Calibri" w:eastAsia="宋体" w:cs="黑体"/>
      <w:kern w:val="2"/>
      <w:sz w:val="21"/>
      <w:szCs w:val="22"/>
      <w:lang w:val="en-US" w:eastAsia="zh-CN" w:bidi="ar-SA"/>
    </w:rPr>
  </w:style>
  <w:style w:type="paragraph" w:styleId="5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265</Words>
  <Characters>293</Characters>
  <Paragraphs>906</Paragraphs>
  <TotalTime>37</TotalTime>
  <ScaleCrop>false</ScaleCrop>
  <LinksUpToDate>false</LinksUpToDate>
  <CharactersWithSpaces>295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2026-03-05T10:16:00Z</dcterms:created>
  <dc:creator>Microsoft</dc:creator>
  <cp:lastModifiedBy>迦禾</cp:lastModifiedBy>
  <cp:lastPrinted>2025-02-17T14:00:00Z</cp:lastPrinted>
  <dcterms:modified xsi:type="dcterms:W3CDTF">2026-03-10T02:46:27Z</dcterms:modified>
  <dc:title>杭州市临平区妇幼保健院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FF9021974F954B3D8F936AB50075B9EE_13</vt:lpwstr>
  </property>
  <property fmtid="{D5CDD505-2E9C-101B-9397-08002B2CF9AE}" pid="4" name="KSOTemplateDocerSaveRecord">
    <vt:lpwstr>eyJoZGlkIjoiZjVlNzE4ZjVhNWZiYzE3ZmM1YTAxOTI0MzI0YjZkNzIiLCJ1c2VySWQiOiIzNTA4NTI3ODUifQ==</vt:lpwstr>
  </property>
</Properties>
</file>