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bookmarkStart w:id="13" w:name="_GoBack"/>
      <w:bookmarkEnd w:id="13"/>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hint="eastAsia" w:ascii="宋体" w:hAnsi="宋体"/>
          <w:b/>
          <w:sz w:val="44"/>
          <w:szCs w:val="44"/>
        </w:rPr>
      </w:pPr>
      <w:r>
        <w:rPr>
          <w:rFonts w:hint="eastAsia" w:ascii="宋体" w:hAnsi="宋体" w:cs="黑体"/>
          <w:b/>
          <w:bCs w:val="0"/>
          <w:sz w:val="44"/>
          <w:szCs w:val="44"/>
          <w:lang w:val="en-US" w:eastAsia="zh-CN"/>
        </w:rPr>
        <w:t>西溪院区1号楼宣传标识布设项目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4"/>
        <w:snapToGrid w:val="0"/>
        <w:spacing w:before="120" w:after="120" w:line="360" w:lineRule="auto"/>
        <w:rPr>
          <w:rFonts w:hAnsi="宋体"/>
          <w:b/>
          <w:bCs/>
          <w:sz w:val="30"/>
          <w:szCs w:val="30"/>
        </w:rPr>
      </w:pPr>
    </w:p>
    <w:p w14:paraId="309CD4C0">
      <w:pPr>
        <w:pStyle w:val="14"/>
        <w:snapToGrid w:val="0"/>
        <w:spacing w:before="120" w:after="120" w:line="360" w:lineRule="auto"/>
        <w:ind w:firstLine="1343" w:firstLineChars="446"/>
        <w:rPr>
          <w:rFonts w:hAnsi="宋体"/>
          <w:b/>
          <w:bCs/>
          <w:sz w:val="30"/>
          <w:szCs w:val="30"/>
          <w:highlight w:val="none"/>
        </w:rPr>
      </w:pPr>
    </w:p>
    <w:p w14:paraId="2E49EE48">
      <w:pPr>
        <w:snapToGrid w:val="0"/>
        <w:spacing w:before="120" w:beforeLines="50" w:line="360" w:lineRule="auto"/>
        <w:ind w:firstLine="1433" w:firstLineChars="446"/>
        <w:rPr>
          <w:rFonts w:hint="default" w:ascii="宋体" w:hAnsi="宋体" w:eastAsia="宋体"/>
          <w:b/>
          <w:bCs/>
          <w:sz w:val="32"/>
          <w:szCs w:val="32"/>
          <w:highlight w:val="none"/>
          <w:u w:val="single"/>
          <w:lang w:val="en-US" w:eastAsia="zh-CN"/>
        </w:rPr>
      </w:pPr>
      <w:r>
        <w:rPr>
          <w:rFonts w:ascii="宋体" w:hAnsi="宋体"/>
          <w:b/>
          <w:bCs/>
          <w:sz w:val="32"/>
          <w:szCs w:val="32"/>
          <w:highlight w:val="none"/>
        </w:rPr>
        <w:t>项目编号：</w:t>
      </w:r>
      <w:r>
        <w:rPr>
          <w:rFonts w:hint="eastAsia" w:ascii="宋体" w:hAnsi="宋体"/>
          <w:b/>
          <w:bCs/>
          <w:sz w:val="32"/>
          <w:szCs w:val="32"/>
          <w:highlight w:val="none"/>
          <w:lang w:val="en-US" w:eastAsia="zh-CN"/>
        </w:rPr>
        <w:t>ZK-CG-202511</w:t>
      </w:r>
    </w:p>
    <w:p w14:paraId="5DA5470D">
      <w:pPr>
        <w:snapToGrid w:val="0"/>
        <w:spacing w:before="120" w:beforeLines="50" w:line="360" w:lineRule="auto"/>
        <w:ind w:left="3177" w:leftChars="679" w:hanging="1751" w:hangingChars="545"/>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cs="黑体"/>
          <w:b/>
          <w:bCs/>
          <w:sz w:val="32"/>
          <w:szCs w:val="32"/>
          <w:u w:val="single"/>
          <w:lang w:val="en-US" w:eastAsia="zh-CN"/>
        </w:rPr>
        <w:t>西溪院区1号楼宣传标识布设</w:t>
      </w:r>
      <w:r>
        <w:rPr>
          <w:rFonts w:hint="eastAsia" w:ascii="宋体" w:hAnsi="宋体"/>
          <w:b/>
          <w:bCs/>
          <w:sz w:val="32"/>
          <w:szCs w:val="32"/>
          <w:u w:val="single"/>
        </w:rPr>
        <w:t>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4"/>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10"/>
        <w:rPr>
          <w:rFonts w:ascii="宋体" w:hAnsi="宋体"/>
          <w:b/>
          <w:bCs/>
          <w:w w:val="95"/>
          <w:sz w:val="32"/>
          <w:szCs w:val="32"/>
        </w:rPr>
      </w:pPr>
    </w:p>
    <w:p w14:paraId="5A73CDD9">
      <w:pPr>
        <w:pStyle w:val="11"/>
        <w:rPr>
          <w:rFonts w:ascii="宋体" w:hAnsi="宋体"/>
          <w:b/>
          <w:bCs/>
          <w:w w:val="95"/>
          <w:sz w:val="32"/>
          <w:szCs w:val="32"/>
        </w:rPr>
      </w:pPr>
    </w:p>
    <w:p w14:paraId="1626CFB8">
      <w:pPr>
        <w:rPr>
          <w:rFonts w:ascii="宋体" w:hAnsi="宋体"/>
          <w:b/>
          <w:bCs/>
          <w:w w:val="95"/>
          <w:sz w:val="32"/>
          <w:szCs w:val="32"/>
        </w:rPr>
      </w:pPr>
    </w:p>
    <w:p w14:paraId="6A23D00E">
      <w:pPr>
        <w:pStyle w:val="10"/>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5</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9</w:t>
      </w:r>
      <w:r>
        <w:rPr>
          <w:rFonts w:hint="eastAsia" w:ascii="宋体" w:hAnsi="宋体"/>
          <w:b/>
          <w:bCs/>
          <w:w w:val="100"/>
          <w:sz w:val="32"/>
          <w:szCs w:val="32"/>
          <w:highlight w:val="none"/>
        </w:rPr>
        <w:t>月</w:t>
      </w:r>
    </w:p>
    <w:p w14:paraId="712014EF">
      <w:pPr>
        <w:pStyle w:val="20"/>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2"/>
        <w:spacing w:line="360" w:lineRule="auto"/>
        <w:ind w:firstLine="464" w:firstLineChars="200"/>
        <w:rPr>
          <w:rFonts w:hAnsi="宋体" w:cs="宋体"/>
          <w:sz w:val="24"/>
          <w:szCs w:val="24"/>
        </w:rPr>
      </w:pPr>
    </w:p>
    <w:p w14:paraId="0299A6B7">
      <w:pPr>
        <w:pStyle w:val="12"/>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b w:val="0"/>
          <w:bCs w:val="0"/>
          <w:sz w:val="24"/>
          <w:szCs w:val="24"/>
          <w:u w:val="single"/>
          <w:lang w:val="en-US" w:eastAsia="zh-CN"/>
        </w:rPr>
        <w:t>西溪院区1号楼宣传标识布设</w:t>
      </w:r>
      <w:r>
        <w:rPr>
          <w:rFonts w:hint="eastAsia" w:hAnsi="宋体" w:cs="宋体"/>
          <w:sz w:val="24"/>
          <w:szCs w:val="24"/>
          <w:u w:val="single"/>
        </w:rPr>
        <w:t>项目</w:t>
      </w:r>
      <w:r>
        <w:rPr>
          <w:rFonts w:hint="eastAsia" w:hAnsi="宋体" w:cs="宋体"/>
          <w:sz w:val="24"/>
          <w:szCs w:val="24"/>
        </w:rPr>
        <w:t>进行招标，欢迎国内合格的供应商前来投标。</w:t>
      </w:r>
    </w:p>
    <w:p w14:paraId="7B4B6C17">
      <w:pPr>
        <w:pStyle w:val="12"/>
        <w:numPr>
          <w:ilvl w:val="0"/>
          <w:numId w:val="3"/>
        </w:numPr>
        <w:spacing w:line="360" w:lineRule="auto"/>
        <w:ind w:firstLine="0"/>
        <w:rPr>
          <w:rFonts w:hint="default" w:hAnsi="宋体" w:cs="宋体"/>
          <w:sz w:val="24"/>
          <w:szCs w:val="24"/>
          <w:highlight w:val="none"/>
          <w:lang w:val="en-US"/>
        </w:rPr>
      </w:pPr>
      <w:r>
        <w:rPr>
          <w:rFonts w:hint="eastAsia" w:hAnsi="宋体" w:cs="宋体"/>
          <w:sz w:val="24"/>
          <w:szCs w:val="24"/>
          <w:highlight w:val="none"/>
        </w:rPr>
        <w:t>项目编号：</w:t>
      </w:r>
      <w:r>
        <w:rPr>
          <w:rFonts w:hint="eastAsia" w:hAnsi="宋体" w:cs="宋体"/>
          <w:sz w:val="24"/>
          <w:szCs w:val="24"/>
          <w:highlight w:val="none"/>
          <w:lang w:val="en-US" w:eastAsia="zh-CN"/>
        </w:rPr>
        <w:t>ZK-CG-202511</w:t>
      </w:r>
    </w:p>
    <w:p w14:paraId="500A380B">
      <w:pPr>
        <w:pStyle w:val="12"/>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2"/>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2"/>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1"/>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29"/>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29"/>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29"/>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29"/>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2"/>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2"/>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2"/>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2"/>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2"/>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29"/>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29"/>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2"/>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hAnsi="宋体" w:cs="宋体"/>
                <w:b w:val="0"/>
                <w:bCs w:val="0"/>
                <w:spacing w:val="0"/>
                <w:sz w:val="21"/>
                <w:szCs w:val="21"/>
                <w:lang w:val="en-US" w:eastAsia="zh-CN"/>
              </w:rPr>
              <w:t>西溪院区1号楼宣传标识布设</w:t>
            </w:r>
            <w:r>
              <w:rPr>
                <w:rFonts w:hint="eastAsia" w:hAnsi="宋体" w:cs="宋体"/>
                <w:spacing w:val="0"/>
                <w:sz w:val="21"/>
                <w:szCs w:val="21"/>
              </w:rPr>
              <w:t>项目</w:t>
            </w:r>
          </w:p>
        </w:tc>
        <w:tc>
          <w:tcPr>
            <w:tcW w:w="552" w:type="dxa"/>
            <w:vAlign w:val="center"/>
          </w:tcPr>
          <w:p w14:paraId="53DD96FF">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1</w:t>
            </w:r>
          </w:p>
        </w:tc>
        <w:tc>
          <w:tcPr>
            <w:tcW w:w="552" w:type="dxa"/>
            <w:vAlign w:val="center"/>
          </w:tcPr>
          <w:p w14:paraId="1E8D3BE7">
            <w:pPr>
              <w:pStyle w:val="12"/>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w:t>
            </w:r>
          </w:p>
        </w:tc>
        <w:tc>
          <w:tcPr>
            <w:tcW w:w="1377" w:type="dxa"/>
            <w:vAlign w:val="center"/>
          </w:tcPr>
          <w:p w14:paraId="6CB6468A">
            <w:pPr>
              <w:pStyle w:val="12"/>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19</w:t>
            </w:r>
          </w:p>
        </w:tc>
        <w:tc>
          <w:tcPr>
            <w:tcW w:w="1660" w:type="dxa"/>
            <w:vAlign w:val="center"/>
          </w:tcPr>
          <w:p w14:paraId="701723CA">
            <w:pPr>
              <w:pStyle w:val="12"/>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2"/>
              <w:spacing w:line="360" w:lineRule="auto"/>
              <w:ind w:firstLine="0"/>
              <w:jc w:val="center"/>
              <w:rPr>
                <w:rFonts w:hAnsi="宋体" w:cs="宋体"/>
                <w:spacing w:val="0"/>
                <w:sz w:val="21"/>
                <w:szCs w:val="21"/>
              </w:rPr>
            </w:pPr>
          </w:p>
        </w:tc>
      </w:tr>
    </w:tbl>
    <w:p w14:paraId="1A4777D4">
      <w:pPr>
        <w:pStyle w:val="12"/>
        <w:adjustRightInd w:val="0"/>
        <w:snapToGrid w:val="0"/>
        <w:spacing w:after="120" w:line="288" w:lineRule="auto"/>
        <w:ind w:firstLine="0"/>
        <w:rPr>
          <w:rFonts w:hAnsi="宋体" w:cs="宋体"/>
          <w:sz w:val="24"/>
          <w:szCs w:val="24"/>
        </w:rPr>
      </w:pPr>
    </w:p>
    <w:p w14:paraId="638B19C0">
      <w:pPr>
        <w:pStyle w:val="12"/>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2"/>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2"/>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2"/>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39B6F4E1">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53664771">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9月29</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9月29</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7"/>
      </w:pPr>
    </w:p>
    <w:p w14:paraId="5548A890"/>
    <w:p w14:paraId="67EA45FC">
      <w:pPr>
        <w:pStyle w:val="7"/>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5</w:t>
      </w:r>
      <w:r>
        <w:rPr>
          <w:rFonts w:hint="eastAsia" w:ascii="宋体" w:hAnsi="宋体" w:cs="宋体"/>
          <w:b/>
          <w:sz w:val="24"/>
        </w:rPr>
        <w:t>年</w:t>
      </w:r>
      <w:r>
        <w:rPr>
          <w:rFonts w:hint="eastAsia" w:ascii="宋体" w:hAnsi="宋体" w:cs="宋体"/>
          <w:b/>
          <w:sz w:val="24"/>
          <w:lang w:val="en-US" w:eastAsia="zh-CN"/>
        </w:rPr>
        <w:t>9</w:t>
      </w:r>
      <w:r>
        <w:rPr>
          <w:rFonts w:hint="eastAsia" w:ascii="宋体" w:hAnsi="宋体" w:cs="宋体"/>
          <w:b/>
          <w:sz w:val="24"/>
        </w:rPr>
        <w:t>月</w:t>
      </w:r>
    </w:p>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4"/>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w:t>
      </w:r>
      <w:r>
        <w:rPr>
          <w:rFonts w:hint="eastAsia" w:hAnsi="宋体" w:cs="宋体"/>
          <w:bCs/>
          <w:sz w:val="21"/>
          <w:szCs w:val="21"/>
        </w:rPr>
        <w:t>供应商应认真阅读本招标文件，发现其中有</w:t>
      </w:r>
      <w:r>
        <w:rPr>
          <w:rFonts w:hint="eastAsia" w:hAnsi="宋体" w:cs="宋体"/>
          <w:sz w:val="21"/>
          <w:szCs w:val="21"/>
        </w:rPr>
        <w:t>表述不清晰、前后矛盾等内容的</w:t>
      </w:r>
      <w:r>
        <w:rPr>
          <w:rFonts w:hint="eastAsia" w:hAnsi="宋体" w:cs="宋体"/>
          <w:bCs/>
          <w:sz w:val="21"/>
          <w:szCs w:val="21"/>
        </w:rPr>
        <w:t>，供应商可以</w:t>
      </w:r>
      <w:r>
        <w:rPr>
          <w:rFonts w:hint="eastAsia" w:hAnsi="宋体" w:cs="宋体"/>
          <w:sz w:val="21"/>
          <w:szCs w:val="21"/>
        </w:rPr>
        <w:t>在投标截止日</w:t>
      </w:r>
      <w:r>
        <w:rPr>
          <w:rFonts w:hint="eastAsia" w:hAnsi="宋体" w:cs="宋体"/>
          <w:sz w:val="21"/>
          <w:szCs w:val="21"/>
          <w:u w:val="single"/>
        </w:rPr>
        <w:t xml:space="preserve"> 1 </w:t>
      </w:r>
      <w:r>
        <w:rPr>
          <w:rFonts w:hint="eastAsia" w:hAnsi="宋体" w:cs="宋体"/>
          <w:sz w:val="21"/>
          <w:szCs w:val="21"/>
        </w:rPr>
        <w:t>天前</w:t>
      </w:r>
      <w:r>
        <w:rPr>
          <w:rFonts w:hint="eastAsia" w:hAnsi="宋体" w:cs="宋体"/>
          <w:bCs/>
          <w:sz w:val="21"/>
          <w:szCs w:val="21"/>
        </w:rPr>
        <w:t>以书面形式要求招标采购单位澄清</w:t>
      </w:r>
      <w:r>
        <w:rPr>
          <w:rFonts w:hint="eastAsia" w:hAnsi="宋体" w:cs="宋体"/>
          <w:sz w:val="21"/>
          <w:szCs w:val="21"/>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4"/>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22" w:firstLineChars="200"/>
        <w:rPr>
          <w:rFonts w:hint="eastAsia" w:ascii="宋体" w:hAnsi="宋体" w:cs="宋体"/>
          <w:b/>
          <w:bCs/>
          <w:sz w:val="21"/>
          <w:szCs w:val="21"/>
          <w:u w:val="single"/>
        </w:rPr>
      </w:pPr>
      <w:r>
        <w:rPr>
          <w:rFonts w:hint="eastAsia" w:ascii="宋体" w:hAnsi="宋体" w:cs="宋体"/>
          <w:b/>
          <w:bCs/>
          <w:sz w:val="21"/>
          <w:szCs w:val="21"/>
          <w:u w:val="single"/>
        </w:rPr>
        <w:t>▲（1）法人或者其他组织的营业执照等证明文件复印件，自然人的身份证复印件，法人代表授权委托书</w:t>
      </w:r>
      <w:r>
        <w:rPr>
          <w:rFonts w:hint="eastAsia" w:ascii="宋体" w:hAnsi="宋体" w:cs="宋体"/>
          <w:b/>
          <w:sz w:val="21"/>
          <w:szCs w:val="21"/>
          <w:u w:val="single"/>
        </w:rPr>
        <w:t>（格式见第五章）</w:t>
      </w:r>
      <w:r>
        <w:rPr>
          <w:rFonts w:hint="eastAsia" w:ascii="宋体" w:hAnsi="宋体" w:cs="宋体"/>
          <w:b/>
          <w:bCs/>
          <w:sz w:val="21"/>
          <w:szCs w:val="21"/>
          <w:u w:val="single"/>
        </w:rPr>
        <w:t>；</w:t>
      </w:r>
    </w:p>
    <w:p w14:paraId="1B213ECE">
      <w:pPr>
        <w:snapToGrid w:val="0"/>
        <w:spacing w:line="360" w:lineRule="auto"/>
        <w:ind w:firstLine="422" w:firstLineChars="200"/>
        <w:rPr>
          <w:rFonts w:ascii="宋体" w:hAnsi="宋体" w:cs="宋体"/>
          <w:b/>
          <w:sz w:val="21"/>
          <w:szCs w:val="21"/>
          <w:u w:val="single"/>
        </w:rPr>
      </w:pPr>
      <w:r>
        <w:rPr>
          <w:rFonts w:hint="eastAsia" w:ascii="宋体" w:hAnsi="宋体" w:cs="宋体"/>
          <w:b/>
          <w:bCs/>
          <w:sz w:val="21"/>
          <w:szCs w:val="21"/>
          <w:u w:val="single"/>
        </w:rPr>
        <w:t>▲</w:t>
      </w:r>
      <w:r>
        <w:rPr>
          <w:rFonts w:hint="eastAsia" w:ascii="宋体" w:hAnsi="宋体" w:cs="宋体"/>
          <w:b/>
          <w:sz w:val="21"/>
          <w:szCs w:val="21"/>
          <w:u w:val="singl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（1）投标函（格式见第五章）；</w:t>
      </w:r>
    </w:p>
    <w:p w14:paraId="4F22F621">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（2）开标一览表（格式见第五章）；</w:t>
      </w:r>
    </w:p>
    <w:p w14:paraId="3314D0C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snapToGrid w:val="0"/>
        <w:spacing w:line="360" w:lineRule="auto"/>
        <w:ind w:firstLine="420" w:firstLineChars="200"/>
        <w:jc w:val="left"/>
        <w:rPr>
          <w:rFonts w:ascii="宋体" w:hAnsi="宋体" w:cs="宋体"/>
          <w:szCs w:val="21"/>
        </w:rPr>
      </w:pPr>
      <w:r>
        <w:rPr>
          <w:rFonts w:hint="eastAsia" w:ascii="宋体" w:hAnsi="宋体" w:cs="宋体"/>
          <w:szCs w:val="21"/>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2"/>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pStyle w:val="14"/>
        <w:snapToGrid w:val="0"/>
        <w:spacing w:beforeLines="0" w:afterLines="0" w:line="360" w:lineRule="auto"/>
        <w:ind w:firstLine="411" w:firstLineChars="196"/>
        <w:rPr>
          <w:rFonts w:hAnsi="宋体" w:cs="宋体"/>
          <w:sz w:val="21"/>
          <w:szCs w:val="21"/>
        </w:rPr>
      </w:pPr>
      <w:r>
        <w:rPr>
          <w:rFonts w:hint="eastAsia" w:hAnsi="宋体" w:cs="宋体"/>
          <w:sz w:val="21"/>
          <w:szCs w:val="21"/>
        </w:rPr>
        <w:t>1.供应商应按招标文件规定的投标截止时间前提交投标文件。逾期送达的或者未送达指定地点的投标文件，将不予接收。</w:t>
      </w:r>
      <w:r>
        <w:rPr>
          <w:rFonts w:hint="eastAsia" w:hAnsi="宋体" w:cs="宋体"/>
          <w:bCs/>
          <w:sz w:val="21"/>
          <w:szCs w:val="21"/>
        </w:rPr>
        <w:t>2.</w:t>
      </w:r>
      <w:r>
        <w:rPr>
          <w:rFonts w:hint="eastAsia" w:hAnsi="宋体" w:cs="宋体"/>
          <w:sz w:val="21"/>
          <w:szCs w:val="21"/>
        </w:rPr>
        <w:t>开标会由采购人自行主持。3．做好开标记录并签字确认，供应商代表未到场签字确认或者拒绝签字确认的，不影响开标过程。</w:t>
      </w:r>
    </w:p>
    <w:p w14:paraId="14B94648">
      <w:pPr>
        <w:pStyle w:val="14"/>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pStyle w:val="14"/>
        <w:snapToGrid w:val="0"/>
        <w:spacing w:beforeLines="0" w:afterLines="0" w:line="360" w:lineRule="auto"/>
        <w:ind w:firstLine="420" w:firstLineChars="200"/>
        <w:rPr>
          <w:rFonts w:hAnsi="宋体" w:cs="宋体"/>
          <w:sz w:val="21"/>
          <w:szCs w:val="21"/>
        </w:rPr>
      </w:pPr>
      <w:r>
        <w:rPr>
          <w:rFonts w:hint="eastAsia" w:hAnsi="宋体" w:cs="宋体"/>
          <w:sz w:val="21"/>
          <w:szCs w:val="21"/>
        </w:rPr>
        <w:t>1.评标小组由采购单位有关专家组成,成员人数应当为单数。</w:t>
      </w:r>
      <w:r>
        <w:rPr>
          <w:rFonts w:hint="eastAsia" w:hAnsi="宋体" w:cs="宋体"/>
          <w:b/>
          <w:sz w:val="21"/>
          <w:szCs w:val="21"/>
        </w:rPr>
        <w:t>2.</w:t>
      </w:r>
      <w:r>
        <w:rPr>
          <w:rFonts w:hint="eastAsia" w:hAnsi="宋体" w:cs="宋体"/>
          <w:sz w:val="21"/>
          <w:szCs w:val="21"/>
        </w:rPr>
        <w:t>招标人对各供应商的资格进行审查，供应商资格条件不符合招标文件要求的投标无效，</w:t>
      </w:r>
      <w:r>
        <w:rPr>
          <w:rFonts w:hint="eastAsia" w:hAnsi="宋体" w:cs="宋体"/>
          <w:bCs/>
          <w:sz w:val="21"/>
          <w:szCs w:val="21"/>
        </w:rPr>
        <w:t>不再进入符合性审查。</w:t>
      </w:r>
      <w:r>
        <w:rPr>
          <w:rFonts w:hint="eastAsia" w:hAnsi="宋体" w:cs="宋体"/>
          <w:sz w:val="21"/>
          <w:szCs w:val="21"/>
        </w:rPr>
        <w:t>3.评审小组对各投标文件的符合性进行审查，确定是否对招标文件作出了实质性响应。</w:t>
      </w:r>
      <w:r>
        <w:rPr>
          <w:rFonts w:hint="eastAsia" w:hAnsi="宋体" w:cs="宋体"/>
          <w:bCs/>
          <w:sz w:val="21"/>
          <w:szCs w:val="21"/>
        </w:rPr>
        <w:t>实质上没有响应招标文件要求的投标将被视为无效投标，不再进入下一阶段的评审。</w:t>
      </w:r>
      <w:r>
        <w:rPr>
          <w:rFonts w:hint="eastAsia" w:hAnsi="宋体" w:cs="宋体"/>
          <w:sz w:val="21"/>
          <w:szCs w:val="21"/>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4"/>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snapToGrid w:val="0"/>
        <w:spacing w:line="360" w:lineRule="auto"/>
        <w:ind w:firstLine="422" w:firstLineChars="200"/>
        <w:rPr>
          <w:rFonts w:ascii="宋体" w:hAnsi="宋体" w:cs="宋体"/>
          <w:szCs w:val="21"/>
        </w:rPr>
      </w:pPr>
      <w:r>
        <w:rPr>
          <w:rFonts w:hint="eastAsia" w:ascii="宋体" w:hAnsi="宋体" w:cs="宋体"/>
          <w:b/>
          <w:bCs/>
          <w:szCs w:val="21"/>
        </w:rPr>
        <w:t>1</w:t>
      </w:r>
      <w:r>
        <w:rPr>
          <w:rFonts w:hint="eastAsia" w:ascii="宋体" w:hAnsi="宋体" w:cs="宋体"/>
          <w:szCs w:val="21"/>
        </w:rPr>
        <w:t>.采购人依法确定中标人后现场发布中标公告。</w:t>
      </w:r>
      <w:r>
        <w:rPr>
          <w:rFonts w:hint="eastAsia" w:ascii="宋体" w:hAnsi="宋体" w:cs="宋体"/>
          <w:b/>
          <w:szCs w:val="21"/>
        </w:rPr>
        <w:t>2</w:t>
      </w:r>
      <w:r>
        <w:rPr>
          <w:rFonts w:hint="eastAsia" w:ascii="宋体" w:hAnsi="宋体" w:cs="宋体"/>
          <w:szCs w:val="21"/>
        </w:rPr>
        <w:t>.采购人与中标人应当在中标之日起30日内签订采购合同。中标人拖延、拒签合同的,取消中标资格。</w:t>
      </w:r>
    </w:p>
    <w:p w14:paraId="7D5F0D95">
      <w:pPr>
        <w:pStyle w:val="14"/>
        <w:snapToGrid w:val="0"/>
        <w:spacing w:beforeLines="0" w:afterLines="0" w:line="360" w:lineRule="auto"/>
        <w:ind w:firstLine="562" w:firstLineChars="200"/>
        <w:jc w:val="center"/>
        <w:outlineLvl w:val="0"/>
        <w:rPr>
          <w:rFonts w:hAnsi="宋体"/>
          <w:b/>
          <w:sz w:val="28"/>
          <w:szCs w:val="28"/>
        </w:rPr>
      </w:pPr>
    </w:p>
    <w:p w14:paraId="54C12FD8">
      <w:pPr>
        <w:pStyle w:val="14"/>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4"/>
        <w:snapToGrid w:val="0"/>
        <w:spacing w:beforeLines="0" w:afterLines="0" w:line="360" w:lineRule="auto"/>
        <w:ind w:firstLine="562" w:firstLineChars="200"/>
        <w:jc w:val="center"/>
        <w:outlineLvl w:val="0"/>
        <w:rPr>
          <w:rFonts w:hint="eastAsia" w:hAnsi="宋体"/>
          <w:b/>
          <w:sz w:val="28"/>
          <w:szCs w:val="28"/>
        </w:rPr>
      </w:pPr>
    </w:p>
    <w:p w14:paraId="79F81150">
      <w:pPr>
        <w:pStyle w:val="14"/>
        <w:snapToGrid w:val="0"/>
        <w:spacing w:beforeLines="0" w:afterLines="0" w:line="360" w:lineRule="auto"/>
        <w:ind w:firstLine="562" w:firstLineChars="200"/>
        <w:jc w:val="center"/>
        <w:outlineLvl w:val="0"/>
        <w:rPr>
          <w:rFonts w:hint="eastAsia" w:hAnsi="宋体"/>
          <w:b/>
          <w:sz w:val="28"/>
          <w:szCs w:val="28"/>
        </w:rPr>
      </w:pPr>
    </w:p>
    <w:p w14:paraId="7ADB7D7E">
      <w:pPr>
        <w:pStyle w:val="14"/>
        <w:snapToGrid w:val="0"/>
        <w:spacing w:beforeLines="0" w:afterLines="0" w:line="360" w:lineRule="auto"/>
        <w:ind w:firstLine="562" w:firstLineChars="200"/>
        <w:jc w:val="center"/>
        <w:outlineLvl w:val="0"/>
        <w:rPr>
          <w:rFonts w:hint="eastAsia" w:hAnsi="宋体"/>
          <w:b/>
          <w:sz w:val="28"/>
          <w:szCs w:val="28"/>
        </w:rPr>
      </w:pPr>
    </w:p>
    <w:p w14:paraId="52FBE46B">
      <w:pPr>
        <w:pStyle w:val="14"/>
        <w:snapToGrid w:val="0"/>
        <w:spacing w:beforeLines="0" w:afterLines="0" w:line="360" w:lineRule="auto"/>
        <w:ind w:firstLine="562" w:firstLineChars="200"/>
        <w:jc w:val="center"/>
        <w:outlineLvl w:val="0"/>
        <w:rPr>
          <w:rFonts w:hint="eastAsia" w:hAnsi="宋体"/>
          <w:b/>
          <w:sz w:val="28"/>
          <w:szCs w:val="28"/>
        </w:rPr>
      </w:pPr>
    </w:p>
    <w:p w14:paraId="430E0FFD">
      <w:pPr>
        <w:pStyle w:val="14"/>
        <w:snapToGrid w:val="0"/>
        <w:spacing w:beforeLines="0" w:afterLines="0" w:line="360" w:lineRule="auto"/>
        <w:ind w:firstLine="562" w:firstLineChars="200"/>
        <w:jc w:val="center"/>
        <w:outlineLvl w:val="0"/>
        <w:rPr>
          <w:rFonts w:hint="eastAsia" w:hAnsi="宋体"/>
          <w:b/>
          <w:sz w:val="28"/>
          <w:szCs w:val="28"/>
        </w:rPr>
      </w:pPr>
    </w:p>
    <w:p w14:paraId="6CB94600">
      <w:pPr>
        <w:pStyle w:val="14"/>
        <w:snapToGrid w:val="0"/>
        <w:spacing w:beforeLines="0" w:afterLines="0" w:line="360" w:lineRule="auto"/>
        <w:ind w:firstLine="562" w:firstLineChars="200"/>
        <w:jc w:val="center"/>
        <w:outlineLvl w:val="0"/>
        <w:rPr>
          <w:rFonts w:hint="eastAsia" w:hAnsi="宋体"/>
          <w:b/>
          <w:sz w:val="28"/>
          <w:szCs w:val="28"/>
        </w:rPr>
      </w:pPr>
    </w:p>
    <w:p w14:paraId="254EA03D">
      <w:pPr>
        <w:pStyle w:val="14"/>
        <w:snapToGrid w:val="0"/>
        <w:spacing w:beforeLines="0" w:afterLines="0" w:line="360" w:lineRule="auto"/>
        <w:ind w:firstLine="562" w:firstLineChars="200"/>
        <w:jc w:val="center"/>
        <w:outlineLvl w:val="0"/>
        <w:rPr>
          <w:rFonts w:hint="eastAsia" w:hAnsi="宋体"/>
          <w:b/>
          <w:sz w:val="28"/>
          <w:szCs w:val="28"/>
        </w:rPr>
      </w:pPr>
    </w:p>
    <w:p w14:paraId="108C8D4A">
      <w:pPr>
        <w:pStyle w:val="14"/>
        <w:snapToGrid w:val="0"/>
        <w:spacing w:beforeLines="0" w:afterLines="0" w:line="360" w:lineRule="auto"/>
        <w:ind w:firstLine="562" w:firstLineChars="200"/>
        <w:jc w:val="center"/>
        <w:outlineLvl w:val="0"/>
        <w:rPr>
          <w:rFonts w:hint="eastAsia" w:hAnsi="宋体"/>
          <w:b/>
          <w:sz w:val="28"/>
          <w:szCs w:val="28"/>
        </w:rPr>
      </w:pPr>
    </w:p>
    <w:p w14:paraId="0292ADA1">
      <w:pPr>
        <w:pStyle w:val="14"/>
        <w:snapToGrid w:val="0"/>
        <w:spacing w:beforeLines="0" w:afterLines="0" w:line="360" w:lineRule="auto"/>
        <w:ind w:firstLine="562" w:firstLineChars="200"/>
        <w:jc w:val="center"/>
        <w:outlineLvl w:val="0"/>
        <w:rPr>
          <w:rFonts w:hint="eastAsia" w:hAnsi="宋体"/>
          <w:b/>
          <w:sz w:val="28"/>
          <w:szCs w:val="28"/>
        </w:rPr>
      </w:pPr>
    </w:p>
    <w:p w14:paraId="36E605E3">
      <w:pPr>
        <w:pStyle w:val="14"/>
        <w:snapToGrid w:val="0"/>
        <w:spacing w:beforeLines="0" w:afterLines="0" w:line="360" w:lineRule="auto"/>
        <w:ind w:firstLine="562" w:firstLineChars="200"/>
        <w:jc w:val="center"/>
        <w:outlineLvl w:val="0"/>
        <w:rPr>
          <w:rFonts w:hint="eastAsia" w:hAnsi="宋体"/>
          <w:b/>
          <w:sz w:val="28"/>
          <w:szCs w:val="28"/>
        </w:rPr>
      </w:pPr>
    </w:p>
    <w:p w14:paraId="59806C8A">
      <w:pPr>
        <w:pStyle w:val="14"/>
        <w:snapToGrid w:val="0"/>
        <w:spacing w:beforeLines="0" w:afterLines="0" w:line="360" w:lineRule="auto"/>
        <w:ind w:firstLine="562" w:firstLineChars="200"/>
        <w:jc w:val="center"/>
        <w:outlineLvl w:val="0"/>
        <w:rPr>
          <w:rFonts w:hint="eastAsia" w:hAnsi="宋体"/>
          <w:b/>
          <w:sz w:val="28"/>
          <w:szCs w:val="28"/>
        </w:rPr>
      </w:pPr>
    </w:p>
    <w:p w14:paraId="6DC496AE">
      <w:pPr>
        <w:pStyle w:val="14"/>
        <w:snapToGrid w:val="0"/>
        <w:spacing w:beforeLines="0" w:afterLines="0" w:line="360" w:lineRule="auto"/>
        <w:ind w:firstLine="562" w:firstLineChars="200"/>
        <w:jc w:val="center"/>
        <w:outlineLvl w:val="0"/>
        <w:rPr>
          <w:rFonts w:hint="eastAsia" w:hAnsi="宋体"/>
          <w:b/>
          <w:sz w:val="28"/>
          <w:szCs w:val="28"/>
        </w:rPr>
      </w:pPr>
    </w:p>
    <w:p w14:paraId="42228B03">
      <w:pPr>
        <w:pStyle w:val="14"/>
        <w:snapToGrid w:val="0"/>
        <w:spacing w:beforeLines="0" w:afterLines="0" w:line="360" w:lineRule="auto"/>
        <w:ind w:firstLine="562" w:firstLineChars="200"/>
        <w:jc w:val="center"/>
        <w:outlineLvl w:val="0"/>
        <w:rPr>
          <w:rFonts w:hint="eastAsia" w:hAnsi="宋体"/>
          <w:b/>
          <w:sz w:val="28"/>
          <w:szCs w:val="28"/>
        </w:rPr>
      </w:pPr>
    </w:p>
    <w:p w14:paraId="537B2FB8">
      <w:pPr>
        <w:pStyle w:val="14"/>
        <w:snapToGrid w:val="0"/>
        <w:spacing w:beforeLines="0" w:afterLines="0" w:line="360" w:lineRule="auto"/>
        <w:ind w:firstLine="562" w:firstLineChars="200"/>
        <w:jc w:val="center"/>
        <w:outlineLvl w:val="0"/>
        <w:rPr>
          <w:rFonts w:hint="eastAsia" w:hAnsi="宋体"/>
          <w:b/>
          <w:sz w:val="28"/>
          <w:szCs w:val="28"/>
        </w:rPr>
      </w:pPr>
    </w:p>
    <w:p w14:paraId="688342A5">
      <w:pPr>
        <w:pStyle w:val="14"/>
        <w:snapToGrid w:val="0"/>
        <w:spacing w:beforeLines="0" w:afterLines="0" w:line="360" w:lineRule="auto"/>
        <w:ind w:firstLine="562" w:firstLineChars="200"/>
        <w:jc w:val="center"/>
        <w:outlineLvl w:val="0"/>
        <w:rPr>
          <w:rFonts w:hint="eastAsia" w:hAnsi="宋体"/>
          <w:b/>
          <w:sz w:val="28"/>
          <w:szCs w:val="28"/>
        </w:rPr>
      </w:pPr>
    </w:p>
    <w:p w14:paraId="355F0E01">
      <w:pPr>
        <w:pStyle w:val="14"/>
        <w:snapToGrid w:val="0"/>
        <w:spacing w:beforeLines="0" w:afterLines="0" w:line="360" w:lineRule="auto"/>
        <w:ind w:firstLine="562" w:firstLineChars="200"/>
        <w:jc w:val="center"/>
        <w:outlineLvl w:val="0"/>
        <w:rPr>
          <w:rFonts w:hint="eastAsia" w:hAnsi="宋体"/>
          <w:b/>
          <w:sz w:val="28"/>
          <w:szCs w:val="28"/>
        </w:rPr>
      </w:pPr>
    </w:p>
    <w:p w14:paraId="7F19B564">
      <w:pPr>
        <w:pStyle w:val="14"/>
        <w:snapToGrid w:val="0"/>
        <w:spacing w:beforeLines="0" w:afterLines="0" w:line="360" w:lineRule="auto"/>
        <w:ind w:firstLine="562" w:firstLineChars="200"/>
        <w:jc w:val="center"/>
        <w:outlineLvl w:val="0"/>
        <w:rPr>
          <w:rFonts w:hint="eastAsia" w:hAnsi="宋体"/>
          <w:b/>
          <w:sz w:val="28"/>
          <w:szCs w:val="28"/>
        </w:rPr>
      </w:pPr>
    </w:p>
    <w:p w14:paraId="7B4D2F2A">
      <w:pPr>
        <w:pStyle w:val="14"/>
        <w:snapToGrid w:val="0"/>
        <w:spacing w:beforeLines="0" w:afterLines="0" w:line="360" w:lineRule="auto"/>
        <w:ind w:firstLine="562" w:firstLineChars="200"/>
        <w:jc w:val="center"/>
        <w:outlineLvl w:val="0"/>
        <w:rPr>
          <w:rFonts w:hint="eastAsia" w:hAnsi="宋体"/>
          <w:b/>
          <w:sz w:val="28"/>
          <w:szCs w:val="28"/>
        </w:rPr>
      </w:pPr>
    </w:p>
    <w:p w14:paraId="4BB54E53">
      <w:pPr>
        <w:pStyle w:val="14"/>
        <w:snapToGrid w:val="0"/>
        <w:spacing w:beforeLines="0" w:afterLines="0" w:line="360" w:lineRule="auto"/>
        <w:ind w:firstLine="562" w:firstLineChars="200"/>
        <w:jc w:val="center"/>
        <w:outlineLvl w:val="0"/>
        <w:rPr>
          <w:rFonts w:hint="eastAsia" w:hAnsi="宋体"/>
          <w:b/>
          <w:sz w:val="28"/>
          <w:szCs w:val="28"/>
        </w:rPr>
      </w:pPr>
    </w:p>
    <w:p w14:paraId="602BA087">
      <w:pPr>
        <w:pStyle w:val="14"/>
        <w:snapToGrid w:val="0"/>
        <w:spacing w:beforeLines="0" w:afterLines="0" w:line="360" w:lineRule="auto"/>
        <w:ind w:firstLine="562" w:firstLineChars="200"/>
        <w:jc w:val="center"/>
        <w:outlineLvl w:val="0"/>
        <w:rPr>
          <w:rFonts w:hint="eastAsia" w:hAnsi="宋体"/>
          <w:b/>
          <w:sz w:val="28"/>
          <w:szCs w:val="28"/>
        </w:rPr>
      </w:pPr>
    </w:p>
    <w:p w14:paraId="1F8E3831">
      <w:pPr>
        <w:pStyle w:val="14"/>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Cs w:val="21"/>
        </w:rPr>
      </w:pPr>
      <w:r>
        <w:rPr>
          <w:rFonts w:hint="eastAsia" w:ascii="宋体" w:hAnsi="宋体" w:cs="宋体"/>
          <w:szCs w:val="21"/>
        </w:rPr>
        <w:t>为公正、公平、科学地选择中标人，</w:t>
      </w:r>
      <w:r>
        <w:rPr>
          <w:rFonts w:hint="eastAsia" w:ascii="宋体" w:hAnsi="宋体" w:cs="宋体"/>
          <w:szCs w:val="21"/>
          <w:lang w:val="en-US" w:eastAsia="zh-CN"/>
        </w:rPr>
        <w:t>参照</w:t>
      </w:r>
      <w:r>
        <w:rPr>
          <w:rFonts w:hint="eastAsia" w:ascii="宋体" w:hAnsi="宋体" w:cs="宋体"/>
          <w:szCs w:val="21"/>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Cs w:val="21"/>
        </w:rPr>
      </w:pPr>
      <w:r>
        <w:rPr>
          <w:rFonts w:hint="eastAsia" w:ascii="宋体" w:hAnsi="宋体" w:cs="宋体"/>
          <w:szCs w:val="21"/>
        </w:rPr>
        <w:t>本办法适用于</w:t>
      </w:r>
      <w:r>
        <w:rPr>
          <w:rFonts w:hint="eastAsia" w:ascii="宋体" w:hAnsi="宋体" w:cs="宋体"/>
          <w:kern w:val="0"/>
          <w:szCs w:val="21"/>
          <w:u w:val="single"/>
        </w:rPr>
        <w:t>浙江康复</w:t>
      </w:r>
      <w:r>
        <w:rPr>
          <w:rFonts w:hint="eastAsia" w:ascii="宋体" w:hAnsi="宋体" w:cs="宋体"/>
          <w:kern w:val="0"/>
          <w:szCs w:val="21"/>
          <w:u w:val="single"/>
          <w:lang w:val="en-US" w:eastAsia="zh-CN"/>
        </w:rPr>
        <w:t>医院</w:t>
      </w:r>
      <w:r>
        <w:rPr>
          <w:rFonts w:hint="eastAsia" w:ascii="宋体" w:hAnsi="宋体" w:cs="宋体"/>
          <w:b w:val="0"/>
          <w:bCs w:val="0"/>
          <w:spacing w:val="0"/>
          <w:kern w:val="0"/>
          <w:sz w:val="21"/>
          <w:szCs w:val="21"/>
          <w:u w:val="single"/>
          <w:lang w:val="en-US" w:eastAsia="zh-CN"/>
        </w:rPr>
        <w:t>西溪院区1号楼宣传标识布设</w:t>
      </w:r>
      <w:r>
        <w:rPr>
          <w:rFonts w:hint="eastAsia" w:ascii="宋体" w:hAnsi="宋体" w:cs="宋体"/>
          <w:spacing w:val="0"/>
          <w:kern w:val="0"/>
          <w:sz w:val="21"/>
          <w:szCs w:val="21"/>
          <w:u w:val="single"/>
        </w:rPr>
        <w:t>项目</w:t>
      </w:r>
      <w:r>
        <w:rPr>
          <w:rFonts w:hint="eastAsia" w:ascii="宋体" w:hAnsi="宋体" w:cs="宋体"/>
          <w:bCs/>
          <w:szCs w:val="21"/>
        </w:rPr>
        <w:t>评标。</w:t>
      </w:r>
    </w:p>
    <w:p w14:paraId="098AA97A">
      <w:pPr>
        <w:spacing w:before="156" w:beforeLines="50" w:after="156" w:afterLines="50" w:line="360" w:lineRule="auto"/>
        <w:ind w:firstLine="472" w:firstLineChars="196"/>
        <w:rPr>
          <w:rFonts w:ascii="宋体" w:hAnsi="宋体" w:cs="宋体"/>
          <w:b/>
          <w:sz w:val="24"/>
        </w:rPr>
      </w:pPr>
      <w:r>
        <w:rPr>
          <w:rFonts w:hint="eastAsia" w:ascii="宋体" w:hAnsi="宋体" w:cs="宋体"/>
          <w:b/>
          <w:sz w:val="24"/>
        </w:rPr>
        <w:t xml:space="preserve">一、总则 </w:t>
      </w:r>
    </w:p>
    <w:p w14:paraId="2C702D0C">
      <w:pPr>
        <w:spacing w:before="156" w:beforeLines="50" w:after="156" w:afterLines="50" w:line="360" w:lineRule="auto"/>
        <w:ind w:firstLine="420" w:firstLineChars="200"/>
        <w:rPr>
          <w:rFonts w:ascii="宋体" w:hAnsi="宋体" w:cs="宋体"/>
          <w:bCs/>
          <w:szCs w:val="21"/>
        </w:rPr>
      </w:pPr>
      <w:r>
        <w:rPr>
          <w:rFonts w:hint="eastAsia" w:ascii="宋体" w:hAnsi="宋体" w:cs="宋体"/>
          <w:szCs w:val="21"/>
        </w:rPr>
        <w:t>本次评标采用</w:t>
      </w:r>
      <w:r>
        <w:rPr>
          <w:rFonts w:hint="eastAsia" w:ascii="宋体" w:hAnsi="宋体" w:cs="宋体"/>
          <w:b/>
          <w:sz w:val="28"/>
          <w:szCs w:val="28"/>
        </w:rPr>
        <w:t>综合评标法</w:t>
      </w:r>
      <w:r>
        <w:rPr>
          <w:rFonts w:hint="eastAsia" w:ascii="宋体" w:hAnsi="宋体" w:cs="宋体"/>
          <w:szCs w:val="21"/>
        </w:rPr>
        <w:t>，合格供应商的评标按投标报价分数排序</w:t>
      </w:r>
      <w:r>
        <w:rPr>
          <w:rFonts w:hint="eastAsia" w:ascii="宋体" w:hAnsi="宋体" w:cs="宋体"/>
          <w:bCs/>
          <w:szCs w:val="21"/>
        </w:rPr>
        <w:t>。</w:t>
      </w:r>
    </w:p>
    <w:p w14:paraId="1E28B31C">
      <w:pPr>
        <w:pStyle w:val="12"/>
        <w:snapToGrid w:val="0"/>
        <w:spacing w:line="360" w:lineRule="auto"/>
        <w:ind w:firstLine="406" w:firstLineChars="200"/>
        <w:rPr>
          <w:rFonts w:hAnsi="宋体" w:cs="宋体"/>
          <w:sz w:val="21"/>
          <w:szCs w:val="21"/>
        </w:rPr>
      </w:pPr>
      <w:r>
        <w:rPr>
          <w:rFonts w:hint="eastAsia" w:hAnsi="宋体" w:cs="宋体"/>
          <w:b/>
          <w:bCs/>
          <w:sz w:val="21"/>
          <w:szCs w:val="21"/>
        </w:rPr>
        <w:t>在报价评审时，如发现下列情形之一的，投标将被视为无效：</w:t>
      </w:r>
      <w:r>
        <w:rPr>
          <w:rFonts w:hint="eastAsia" w:hAnsi="宋体" w:cs="宋体"/>
          <w:sz w:val="21"/>
          <w:szCs w:val="21"/>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B1108F1">
      <w:pPr>
        <w:pStyle w:val="12"/>
        <w:numPr>
          <w:ilvl w:val="0"/>
          <w:numId w:val="4"/>
        </w:numPr>
        <w:snapToGrid w:val="0"/>
        <w:spacing w:line="360" w:lineRule="auto"/>
        <w:ind w:firstLine="466" w:firstLineChars="200"/>
        <w:rPr>
          <w:rFonts w:ascii="宋体" w:hAnsi="宋体" w:cs="宋体"/>
          <w:b/>
          <w:kern w:val="0"/>
          <w:sz w:val="24"/>
        </w:rPr>
      </w:pPr>
      <w:r>
        <w:rPr>
          <w:rFonts w:hint="eastAsia" w:hAnsi="宋体" w:cs="宋体"/>
          <w:b/>
          <w:sz w:val="24"/>
        </w:rPr>
        <w:t xml:space="preserve">评审内容及标准 </w:t>
      </w:r>
      <w:r>
        <w:rPr>
          <w:rFonts w:hint="eastAsia" w:hAnsi="宋体"/>
          <w:bCs/>
          <w:sz w:val="21"/>
          <w:szCs w:val="21"/>
        </w:rPr>
        <w:t>本次投标以</w:t>
      </w:r>
      <w:r>
        <w:rPr>
          <w:rFonts w:hint="eastAsia" w:hAnsi="宋体"/>
          <w:sz w:val="21"/>
          <w:szCs w:val="21"/>
        </w:rPr>
        <w:t>项目总价</w:t>
      </w:r>
      <w:r>
        <w:rPr>
          <w:rFonts w:hint="eastAsia" w:hAnsi="宋体"/>
          <w:bCs/>
          <w:sz w:val="21"/>
          <w:szCs w:val="21"/>
        </w:rPr>
        <w:t>进行投标报价，按报价高低进行排序，相同分数按资质排序，资质报价都相同随机抽取</w:t>
      </w:r>
      <w:r>
        <w:rPr>
          <w:rFonts w:hint="eastAsia" w:hAnsi="宋体"/>
          <w:sz w:val="21"/>
          <w:szCs w:val="21"/>
        </w:rPr>
        <w:t>。</w:t>
      </w:r>
    </w:p>
    <w:tbl>
      <w:tblPr>
        <w:tblStyle w:val="21"/>
        <w:tblW w:w="113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52AE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00FCF74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03A732CB">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40543A9D">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7A596617">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r>
      <w:tr w14:paraId="0D29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0C3617BC">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报价部分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7FE1EEAE">
            <w:pPr>
              <w:widowControl/>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0"/>
                <w:sz w:val="21"/>
                <w:szCs w:val="21"/>
              </w:rPr>
              <w:t>满足采购文件要求且评审报价最低的报价为评审基准价，其价格分为满分。其他供应商的价格分统一按照下列公式计算：报价得分=(评审基准价/评审报价)×</w:t>
            </w:r>
            <w:r>
              <w:rPr>
                <w:rFonts w:hint="eastAsia" w:asciiTheme="minorEastAsia" w:hAnsiTheme="minorEastAsia" w:eastAsiaTheme="minorEastAsia" w:cstheme="minorEastAsia"/>
                <w:color w:val="auto"/>
                <w:spacing w:val="0"/>
                <w:sz w:val="21"/>
                <w:szCs w:val="21"/>
                <w:lang w:val="en-US" w:eastAsia="zh-CN"/>
              </w:rPr>
              <w:t>3</w:t>
            </w:r>
            <w:r>
              <w:rPr>
                <w:rFonts w:hint="eastAsia" w:asciiTheme="minorEastAsia" w:hAnsiTheme="minorEastAsia" w:eastAsiaTheme="minorEastAsia" w:cstheme="minorEastAsia"/>
                <w:color w:val="auto"/>
                <w:spacing w:val="0"/>
                <w:sz w:val="21"/>
                <w:szCs w:val="21"/>
              </w:rPr>
              <w:t>0%×100</w:t>
            </w:r>
          </w:p>
        </w:tc>
        <w:tc>
          <w:tcPr>
            <w:tcW w:w="883" w:type="dxa"/>
            <w:tcBorders>
              <w:top w:val="single" w:color="000000" w:sz="4" w:space="0"/>
              <w:left w:val="single" w:color="000000" w:sz="4" w:space="0"/>
              <w:bottom w:val="single" w:color="000000" w:sz="4" w:space="0"/>
              <w:right w:val="single" w:color="000000" w:sz="4" w:space="0"/>
            </w:tcBorders>
            <w:vAlign w:val="center"/>
          </w:tcPr>
          <w:p w14:paraId="198E8FA3">
            <w:pPr>
              <w:widowControl/>
              <w:jc w:val="center"/>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0-30分</w:t>
            </w:r>
          </w:p>
        </w:tc>
      </w:tr>
      <w:tr w14:paraId="47F7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26B55EF1">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商务部分</w:t>
            </w:r>
          </w:p>
        </w:tc>
        <w:tc>
          <w:tcPr>
            <w:tcW w:w="1134" w:type="dxa"/>
            <w:tcBorders>
              <w:top w:val="single" w:color="000000" w:sz="4" w:space="0"/>
              <w:left w:val="single" w:color="000000" w:sz="4" w:space="0"/>
              <w:bottom w:val="single" w:color="auto" w:sz="4" w:space="0"/>
              <w:right w:val="single" w:color="000000" w:sz="4" w:space="0"/>
            </w:tcBorders>
            <w:vAlign w:val="center"/>
          </w:tcPr>
          <w:p w14:paraId="55FA9858">
            <w:pPr>
              <w:widowControl/>
              <w:numPr>
                <w:ilvl w:val="0"/>
                <w:numId w:val="0"/>
              </w:numPr>
              <w:snapToGrid/>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0"/>
                <w:sz w:val="21"/>
                <w:szCs w:val="21"/>
              </w:rPr>
              <w:t>业</w:t>
            </w:r>
            <w:r>
              <w:rPr>
                <w:rFonts w:hint="eastAsia" w:asciiTheme="minorEastAsia" w:hAnsiTheme="minorEastAsia" w:eastAsiaTheme="minorEastAsia" w:cstheme="minorEastAsia"/>
                <w:color w:val="auto"/>
                <w:sz w:val="21"/>
                <w:szCs w:val="21"/>
              </w:rPr>
              <w:t>绩</w:t>
            </w:r>
          </w:p>
        </w:tc>
        <w:tc>
          <w:tcPr>
            <w:tcW w:w="5906" w:type="dxa"/>
            <w:tcBorders>
              <w:top w:val="single" w:color="000000" w:sz="4" w:space="0"/>
              <w:left w:val="single" w:color="000000" w:sz="4" w:space="0"/>
              <w:bottom w:val="single" w:color="000000" w:sz="4" w:space="0"/>
              <w:right w:val="single" w:color="000000" w:sz="4" w:space="0"/>
            </w:tcBorders>
            <w:vAlign w:val="center"/>
          </w:tcPr>
          <w:p w14:paraId="20B41E6A">
            <w:pPr>
              <w:widowControl/>
              <w:spacing w:before="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1"/>
                <w:szCs w:val="21"/>
              </w:rPr>
              <w:t>供应商自</w:t>
            </w:r>
            <w:r>
              <w:rPr>
                <w:rFonts w:hint="eastAsia" w:asciiTheme="minorEastAsia" w:hAnsiTheme="minorEastAsia" w:eastAsiaTheme="minorEastAsia" w:cstheme="minorEastAsia"/>
                <w:color w:val="auto"/>
                <w:sz w:val="21"/>
                <w:szCs w:val="21"/>
                <w:lang w:val="en-US" w:eastAsia="zh-CN"/>
              </w:rPr>
              <w:t>2022</w:t>
            </w:r>
            <w:r>
              <w:rPr>
                <w:rFonts w:hint="eastAsia" w:asciiTheme="minorEastAsia" w:hAnsiTheme="minorEastAsia" w:eastAsiaTheme="minorEastAsia" w:cstheme="minorEastAsia"/>
                <w:color w:val="auto"/>
                <w:sz w:val="21"/>
                <w:szCs w:val="21"/>
              </w:rPr>
              <w:t>年1月1日以来（以合同签订时间为准）</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合同业绩：每提供1份合同业绩得1分，最高得</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bCs w:val="0"/>
                <w:color w:val="auto"/>
                <w:kern w:val="2"/>
                <w:sz w:val="21"/>
                <w:szCs w:val="21"/>
              </w:rPr>
              <w:t>（以提供的合同复印件为准）</w:t>
            </w:r>
          </w:p>
        </w:tc>
        <w:tc>
          <w:tcPr>
            <w:tcW w:w="883" w:type="dxa"/>
            <w:tcBorders>
              <w:top w:val="single" w:color="000000" w:sz="4" w:space="0"/>
              <w:left w:val="single" w:color="000000" w:sz="4" w:space="0"/>
              <w:bottom w:val="single" w:color="000000" w:sz="4" w:space="0"/>
              <w:right w:val="single" w:color="000000" w:sz="4" w:space="0"/>
            </w:tcBorders>
            <w:vAlign w:val="center"/>
          </w:tcPr>
          <w:p w14:paraId="79EE59CC">
            <w:pPr>
              <w:widowControl/>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0-5</w:t>
            </w:r>
            <w:r>
              <w:rPr>
                <w:rFonts w:hint="eastAsia" w:asciiTheme="minorEastAsia" w:hAnsiTheme="minorEastAsia" w:eastAsiaTheme="minorEastAsia" w:cstheme="minorEastAsia"/>
                <w:color w:val="auto"/>
                <w:sz w:val="21"/>
                <w:szCs w:val="21"/>
              </w:rPr>
              <w:t>分</w:t>
            </w:r>
          </w:p>
        </w:tc>
      </w:tr>
      <w:tr w14:paraId="297F0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restart"/>
            <w:tcBorders>
              <w:left w:val="single" w:color="000000" w:sz="4" w:space="0"/>
              <w:right w:val="single" w:color="000000" w:sz="4" w:space="0"/>
            </w:tcBorders>
            <w:vAlign w:val="center"/>
          </w:tcPr>
          <w:p w14:paraId="5E3672A6">
            <w:pPr>
              <w:widowControl/>
              <w:numPr>
                <w:ilvl w:val="0"/>
                <w:numId w:val="0"/>
              </w:num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技术部分</w:t>
            </w:r>
          </w:p>
          <w:p w14:paraId="18CEF10A">
            <w:pPr>
              <w:widowControl/>
              <w:numPr>
                <w:ilvl w:val="0"/>
                <w:numId w:val="0"/>
              </w:numPr>
              <w:jc w:val="left"/>
              <w:rPr>
                <w:rFonts w:hint="eastAsia" w:asciiTheme="minorEastAsia" w:hAnsiTheme="minorEastAsia" w:eastAsiaTheme="minorEastAsia" w:cstheme="minorEastAsia"/>
                <w:color w:val="auto"/>
                <w:szCs w:val="21"/>
              </w:rPr>
            </w:pPr>
          </w:p>
        </w:tc>
        <w:tc>
          <w:tcPr>
            <w:tcW w:w="1134" w:type="dxa"/>
            <w:tcBorders>
              <w:top w:val="single" w:color="auto" w:sz="4" w:space="0"/>
              <w:left w:val="single" w:color="000000" w:sz="4" w:space="0"/>
              <w:right w:val="single" w:color="000000" w:sz="4" w:space="0"/>
            </w:tcBorders>
            <w:vAlign w:val="center"/>
          </w:tcPr>
          <w:p w14:paraId="0A4587B1">
            <w:pPr>
              <w:widowControl/>
              <w:numPr>
                <w:ilvl w:val="0"/>
                <w:numId w:val="0"/>
              </w:numPr>
              <w:spacing w:line="360" w:lineRule="auto"/>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投标方案</w:t>
            </w: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BDD4D">
            <w:pPr>
              <w:widowControl/>
              <w:spacing w:line="360" w:lineRule="auto"/>
              <w:ind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投标总体方案0-5分（评分范围：5，4，3，2，1，0）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A42856">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0-5分</w:t>
            </w:r>
          </w:p>
        </w:tc>
      </w:tr>
      <w:tr w14:paraId="6C01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1144" w:type="dxa"/>
            <w:vMerge w:val="continue"/>
            <w:tcBorders>
              <w:left w:val="single" w:color="000000" w:sz="4" w:space="0"/>
              <w:right w:val="single" w:color="000000" w:sz="4" w:space="0"/>
            </w:tcBorders>
            <w:vAlign w:val="center"/>
          </w:tcPr>
          <w:p w14:paraId="2148DBFC">
            <w:pPr>
              <w:widowControl/>
              <w:numPr>
                <w:ilvl w:val="0"/>
                <w:numId w:val="0"/>
              </w:numPr>
              <w:jc w:val="left"/>
              <w:rPr>
                <w:rFonts w:hint="eastAsia" w:asciiTheme="minorEastAsia" w:hAnsiTheme="minorEastAsia" w:eastAsiaTheme="minorEastAsia" w:cstheme="minorEastAsia"/>
                <w:color w:val="auto"/>
                <w:szCs w:val="21"/>
              </w:rPr>
            </w:pPr>
          </w:p>
        </w:tc>
        <w:tc>
          <w:tcPr>
            <w:tcW w:w="1134" w:type="dxa"/>
            <w:tcBorders>
              <w:left w:val="single" w:color="000000" w:sz="4" w:space="0"/>
              <w:right w:val="single" w:color="000000" w:sz="4" w:space="0"/>
            </w:tcBorders>
            <w:shd w:val="clear" w:color="auto" w:fill="auto"/>
            <w:vAlign w:val="center"/>
          </w:tcPr>
          <w:p w14:paraId="5EA359B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lang w:eastAsia="zh-CN"/>
              </w:rPr>
              <w:t>需求</w:t>
            </w:r>
            <w:r>
              <w:rPr>
                <w:rFonts w:hint="eastAsia" w:asciiTheme="minorEastAsia" w:hAnsiTheme="minorEastAsia" w:eastAsiaTheme="minorEastAsia" w:cstheme="minorEastAsia"/>
                <w:b w:val="0"/>
                <w:bCs w:val="0"/>
                <w:color w:val="auto"/>
                <w:sz w:val="21"/>
                <w:szCs w:val="21"/>
              </w:rPr>
              <w:t>响应程度</w:t>
            </w:r>
          </w:p>
        </w:tc>
        <w:tc>
          <w:tcPr>
            <w:tcW w:w="5906" w:type="dxa"/>
            <w:tcBorders>
              <w:top w:val="single" w:color="auto" w:sz="4" w:space="0"/>
              <w:left w:val="single" w:color="000000" w:sz="4" w:space="0"/>
              <w:bottom w:val="single" w:color="auto" w:sz="4" w:space="0"/>
              <w:right w:val="single" w:color="000000" w:sz="4" w:space="0"/>
            </w:tcBorders>
            <w:shd w:val="clear" w:color="auto" w:fill="auto"/>
            <w:vAlign w:val="center"/>
          </w:tcPr>
          <w:p w14:paraId="6038C086">
            <w:pPr>
              <w:widowControl/>
              <w:adjustRightInd/>
              <w:snapToGrid/>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不符合（负偏离）</w:t>
            </w:r>
            <w:r>
              <w:rPr>
                <w:rFonts w:hint="eastAsia" w:asciiTheme="minorEastAsia" w:hAnsiTheme="minorEastAsia" w:eastAsiaTheme="minorEastAsia" w:cstheme="minorEastAsia"/>
                <w:color w:val="auto"/>
                <w:sz w:val="21"/>
                <w:szCs w:val="21"/>
                <w:lang w:val="en-US" w:eastAsia="zh-CN"/>
              </w:rPr>
              <w:t>采购需求</w:t>
            </w:r>
            <w:r>
              <w:rPr>
                <w:rFonts w:hint="eastAsia" w:asciiTheme="minorEastAsia" w:hAnsiTheme="minorEastAsia" w:eastAsiaTheme="minorEastAsia" w:cstheme="minorEastAsia"/>
                <w:color w:val="auto"/>
                <w:sz w:val="21"/>
                <w:szCs w:val="21"/>
              </w:rPr>
              <w:t>要求中标注“▲”条款（不可偏离）的投标无效；</w:t>
            </w:r>
          </w:p>
          <w:p w14:paraId="57FAC41B">
            <w:pPr>
              <w:widowControl/>
              <w:adjustRightInd/>
              <w:snapToGrid/>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满足招标文件明确的全部</w:t>
            </w:r>
            <w:r>
              <w:rPr>
                <w:rFonts w:hint="eastAsia" w:asciiTheme="minorEastAsia" w:hAnsiTheme="minorEastAsia" w:eastAsiaTheme="minorEastAsia" w:cstheme="minorEastAsia"/>
                <w:color w:val="auto"/>
                <w:sz w:val="21"/>
                <w:szCs w:val="21"/>
                <w:lang w:eastAsia="zh-CN"/>
              </w:rPr>
              <w:t>需求</w:t>
            </w:r>
            <w:r>
              <w:rPr>
                <w:rFonts w:hint="eastAsia" w:asciiTheme="minorEastAsia" w:hAnsiTheme="minorEastAsia" w:eastAsiaTheme="minorEastAsia" w:cstheme="minorEastAsia"/>
                <w:color w:val="auto"/>
                <w:sz w:val="21"/>
                <w:szCs w:val="21"/>
              </w:rPr>
              <w:t>条款要求的该项得满分；</w:t>
            </w:r>
          </w:p>
          <w:p w14:paraId="53E64B62">
            <w:pPr>
              <w:widowControl/>
              <w:adjustRightInd/>
              <w:snapToGrid/>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需求</w:t>
            </w:r>
            <w:r>
              <w:rPr>
                <w:rFonts w:hint="eastAsia" w:asciiTheme="minorEastAsia" w:hAnsiTheme="minorEastAsia" w:eastAsiaTheme="minorEastAsia" w:cstheme="minorEastAsia"/>
                <w:color w:val="auto"/>
                <w:sz w:val="21"/>
                <w:szCs w:val="21"/>
              </w:rPr>
              <w:t>条款低于</w:t>
            </w:r>
            <w:r>
              <w:rPr>
                <w:rFonts w:hint="eastAsia" w:asciiTheme="minorEastAsia" w:hAnsiTheme="minorEastAsia" w:eastAsiaTheme="minorEastAsia" w:cstheme="minorEastAsia"/>
                <w:color w:val="auto"/>
                <w:sz w:val="21"/>
                <w:szCs w:val="21"/>
                <w:lang w:eastAsia="zh-CN"/>
              </w:rPr>
              <w:t>采购需求</w:t>
            </w:r>
            <w:r>
              <w:rPr>
                <w:rFonts w:hint="eastAsia" w:asciiTheme="minorEastAsia" w:hAnsiTheme="minorEastAsia" w:eastAsiaTheme="minorEastAsia" w:cstheme="minorEastAsia"/>
                <w:color w:val="auto"/>
                <w:sz w:val="21"/>
                <w:szCs w:val="21"/>
              </w:rPr>
              <w:t>（负偏离）的每项扣</w:t>
            </w:r>
            <w:r>
              <w:rPr>
                <w:rFonts w:hint="eastAsia" w:asciiTheme="minorEastAsia" w:hAnsiTheme="minorEastAsia" w:eastAsiaTheme="minorEastAsia" w:cstheme="minorEastAsia"/>
                <w:color w:val="auto"/>
                <w:sz w:val="21"/>
                <w:szCs w:val="21"/>
                <w:lang w:eastAsia="zh-CN"/>
              </w:rPr>
              <w:t>2</w:t>
            </w:r>
            <w:r>
              <w:rPr>
                <w:rFonts w:hint="eastAsia" w:asciiTheme="minorEastAsia" w:hAnsiTheme="minorEastAsia" w:eastAsiaTheme="minorEastAsia" w:cstheme="minorEastAsia"/>
                <w:color w:val="auto"/>
                <w:sz w:val="21"/>
                <w:szCs w:val="21"/>
              </w:rPr>
              <w:t>分；</w:t>
            </w:r>
          </w:p>
          <w:p w14:paraId="5198B92F">
            <w:pPr>
              <w:widowControl/>
              <w:spacing w:line="360" w:lineRule="auto"/>
              <w:ind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负偏离</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项及以上的，视为采购人不能接受的附加条件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其投标文件做无效标处理</w:t>
            </w:r>
            <w:r>
              <w:rPr>
                <w:rFonts w:hint="eastAsia" w:asciiTheme="minorEastAsia" w:hAnsiTheme="minorEastAsia" w:eastAsiaTheme="minorEastAsia" w:cstheme="minorEastAsia"/>
                <w:color w:val="auto"/>
                <w:sz w:val="21"/>
                <w:szCs w:val="21"/>
              </w:rPr>
              <w:t>。</w:t>
            </w:r>
          </w:p>
        </w:tc>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14:paraId="3A957F46">
            <w:pPr>
              <w:widowControl/>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0-12</w:t>
            </w:r>
            <w:r>
              <w:rPr>
                <w:rFonts w:hint="eastAsia" w:asciiTheme="minorEastAsia" w:hAnsiTheme="minorEastAsia" w:eastAsiaTheme="minorEastAsia" w:cstheme="minorEastAsia"/>
                <w:color w:val="auto"/>
                <w:sz w:val="21"/>
                <w:szCs w:val="21"/>
              </w:rPr>
              <w:t>分</w:t>
            </w:r>
          </w:p>
        </w:tc>
      </w:tr>
      <w:tr w14:paraId="078E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1E8EBE59">
            <w:pPr>
              <w:widowControl/>
              <w:numPr>
                <w:ilvl w:val="0"/>
                <w:numId w:val="0"/>
              </w:numPr>
              <w:jc w:val="left"/>
              <w:rPr>
                <w:rFonts w:hint="eastAsia" w:asciiTheme="minorEastAsia" w:hAnsiTheme="minorEastAsia" w:eastAsiaTheme="minorEastAsia" w:cstheme="minorEastAsia"/>
                <w:color w:val="auto"/>
                <w:szCs w:val="21"/>
              </w:rPr>
            </w:pPr>
          </w:p>
        </w:tc>
        <w:tc>
          <w:tcPr>
            <w:tcW w:w="1134" w:type="dxa"/>
            <w:vMerge w:val="restart"/>
            <w:tcBorders>
              <w:left w:val="single" w:color="000000" w:sz="4" w:space="0"/>
              <w:right w:val="single" w:color="000000" w:sz="4" w:space="0"/>
            </w:tcBorders>
            <w:shd w:val="clear" w:color="auto" w:fill="auto"/>
            <w:vAlign w:val="center"/>
          </w:tcPr>
          <w:p w14:paraId="209DA69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样品</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77352883">
            <w:pPr>
              <w:widowControl/>
              <w:spacing w:line="360" w:lineRule="auto"/>
              <w:ind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i w:val="0"/>
                <w:iCs w:val="0"/>
                <w:color w:val="auto"/>
                <w:kern w:val="2"/>
                <w:sz w:val="21"/>
                <w:szCs w:val="21"/>
                <w:highlight w:val="none"/>
                <w:u w:val="none"/>
                <w:lang w:val="en-US" w:eastAsia="zh-CN" w:bidi="ar"/>
              </w:rPr>
              <w:t>一号楼-电梯厅及电梯轿厢-楼层指示牌的</w:t>
            </w:r>
            <w:r>
              <w:rPr>
                <w:rFonts w:hint="eastAsia" w:asciiTheme="minorEastAsia" w:hAnsiTheme="minorEastAsia" w:eastAsiaTheme="minorEastAsia" w:cstheme="minorEastAsia"/>
                <w:color w:val="auto"/>
                <w:sz w:val="21"/>
                <w:szCs w:val="21"/>
                <w:highlight w:val="none"/>
                <w:lang w:val="en-US" w:eastAsia="zh-CN"/>
              </w:rPr>
              <w:t>设计、制作工艺、材料选用及质量情况</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p w14:paraId="037C69A2">
            <w:pPr>
              <w:spacing w:line="360" w:lineRule="auto"/>
              <w:ind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2、一号楼-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楼层</w:t>
            </w:r>
            <w:r>
              <w:rPr>
                <w:rFonts w:hint="eastAsia" w:asciiTheme="minorEastAsia" w:hAnsiTheme="minorEastAsia" w:eastAsiaTheme="minorEastAsia" w:cstheme="minorEastAsia"/>
                <w:b w:val="0"/>
                <w:bCs w:val="0"/>
                <w:color w:val="auto"/>
                <w:sz w:val="21"/>
                <w:szCs w:val="21"/>
                <w:highlight w:val="none"/>
                <w:lang w:val="en-US" w:eastAsia="zh-CN"/>
              </w:rPr>
              <w:t>-门牌的</w:t>
            </w:r>
            <w:r>
              <w:rPr>
                <w:rFonts w:hint="eastAsia" w:asciiTheme="minorEastAsia" w:hAnsiTheme="minorEastAsia" w:eastAsiaTheme="minorEastAsia" w:cstheme="minorEastAsia"/>
                <w:color w:val="auto"/>
                <w:sz w:val="21"/>
                <w:szCs w:val="21"/>
                <w:highlight w:val="none"/>
                <w:lang w:val="en-US" w:eastAsia="zh-CN"/>
              </w:rPr>
              <w:t>设计、制作工艺、材料选用及质量情况</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p w14:paraId="6213703B">
            <w:pPr>
              <w:spacing w:line="360" w:lineRule="auto"/>
              <w:ind w:firstLine="0" w:firstLineChars="0"/>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注：提供以上样品各一件，未提供的不得分。</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DA1E5">
            <w:pPr>
              <w:widowControl/>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0-</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r>
      <w:tr w14:paraId="13AB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6BB90E03">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vAlign w:val="center"/>
          </w:tcPr>
          <w:p w14:paraId="58B5A186">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A2F8DBB">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投标人项目组织实施方案</w:t>
            </w:r>
            <w:r>
              <w:rPr>
                <w:rFonts w:hint="eastAsia" w:asciiTheme="minorEastAsia" w:hAnsiTheme="minorEastAsia" w:eastAsiaTheme="minorEastAsia" w:cstheme="minorEastAsia"/>
                <w:color w:val="auto"/>
                <w:sz w:val="21"/>
                <w:szCs w:val="21"/>
                <w:highlight w:val="none"/>
                <w:lang w:eastAsia="zh-CN"/>
              </w:rPr>
              <w:t>：</w:t>
            </w:r>
          </w:p>
          <w:p w14:paraId="2EA48F85">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1、门厅文化宣传-文化墙产品的设计方案</w:t>
            </w:r>
            <w:r>
              <w:rPr>
                <w:rFonts w:hint="eastAsia" w:asciiTheme="minorEastAsia" w:hAnsiTheme="minorEastAsia" w:eastAsiaTheme="minorEastAsia" w:cstheme="minorEastAsia"/>
                <w:color w:val="auto"/>
                <w:kern w:val="2"/>
                <w:sz w:val="21"/>
                <w:szCs w:val="21"/>
                <w:highlight w:val="none"/>
                <w:lang w:val="en-US" w:eastAsia="zh-CN" w:bidi="ar-SA"/>
              </w:rPr>
              <w:t>0-10分（评分范围：10，9，8，7，6，5，4，3，2，1，0）</w:t>
            </w:r>
          </w:p>
          <w:p w14:paraId="39D92E1C">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材料选用方案</w:t>
            </w:r>
            <w:r>
              <w:rPr>
                <w:rFonts w:hint="eastAsia" w:asciiTheme="minorEastAsia" w:hAnsiTheme="minorEastAsia" w:eastAsiaTheme="minorEastAsia" w:cstheme="minorEastAsia"/>
                <w:sz w:val="21"/>
                <w:szCs w:val="21"/>
              </w:rPr>
              <w:t>0-</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评分</w:t>
            </w:r>
            <w:r>
              <w:rPr>
                <w:rFonts w:hint="eastAsia" w:asciiTheme="minorEastAsia" w:hAnsiTheme="minorEastAsia" w:eastAsiaTheme="minorEastAsia" w:cstheme="minorEastAsia"/>
                <w:sz w:val="21"/>
                <w:szCs w:val="21"/>
                <w:highlight w:val="none"/>
              </w:rPr>
              <w:t>范围：</w:t>
            </w:r>
            <w:r>
              <w:rPr>
                <w:rFonts w:hint="eastAsia" w:asciiTheme="minorEastAsia" w:hAnsiTheme="minorEastAsia" w:eastAsiaTheme="minorEastAsia" w:cstheme="minorEastAsia"/>
                <w:sz w:val="21"/>
                <w:szCs w:val="21"/>
                <w:highlight w:val="none"/>
                <w:lang w:val="en-US" w:eastAsia="zh-CN"/>
              </w:rPr>
              <w:t>4，3，</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0）</w:t>
            </w:r>
          </w:p>
          <w:p w14:paraId="1D046A60">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3、供货进度方案</w:t>
            </w:r>
            <w:r>
              <w:rPr>
                <w:rFonts w:hint="eastAsia" w:asciiTheme="minorEastAsia" w:hAnsiTheme="minorEastAsia" w:eastAsiaTheme="minorEastAsia" w:cstheme="minorEastAsia"/>
                <w:color w:val="auto"/>
                <w:kern w:val="2"/>
                <w:sz w:val="21"/>
                <w:szCs w:val="21"/>
                <w:highlight w:val="none"/>
                <w:lang w:val="en-US" w:eastAsia="zh-CN" w:bidi="ar-SA"/>
              </w:rPr>
              <w:t>0-3分（评分范围：3，2，1，0）</w:t>
            </w:r>
          </w:p>
          <w:p w14:paraId="36AF9332">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货物交接验收方案</w:t>
            </w:r>
            <w:r>
              <w:rPr>
                <w:rFonts w:hint="eastAsia" w:asciiTheme="minorEastAsia" w:hAnsiTheme="minorEastAsia" w:eastAsiaTheme="minorEastAsia" w:cstheme="minorEastAsia"/>
                <w:color w:val="auto"/>
                <w:kern w:val="2"/>
                <w:sz w:val="21"/>
                <w:szCs w:val="21"/>
                <w:highlight w:val="none"/>
                <w:lang w:val="en-US" w:eastAsia="zh-CN" w:bidi="ar-SA"/>
              </w:rPr>
              <w:t>0-2分（评分范围：2，1，0）</w:t>
            </w:r>
          </w:p>
          <w:p w14:paraId="696D5F04">
            <w:pPr>
              <w:numPr>
                <w:ilvl w:val="0"/>
                <w:numId w:val="0"/>
              </w:numPr>
              <w:spacing w:line="360" w:lineRule="auto"/>
              <w:ind w:left="0" w:leftChars="0"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安装调试</w:t>
            </w:r>
            <w:r>
              <w:rPr>
                <w:rFonts w:hint="eastAsia" w:asciiTheme="minorEastAsia" w:hAnsiTheme="minorEastAsia" w:eastAsiaTheme="minorEastAsia" w:cstheme="minorEastAsia"/>
                <w:color w:val="auto"/>
                <w:sz w:val="21"/>
                <w:szCs w:val="21"/>
                <w:highlight w:val="none"/>
                <w:lang w:val="en-US" w:eastAsia="zh-CN"/>
              </w:rPr>
              <w:t>方案0-2分</w:t>
            </w:r>
            <w:r>
              <w:rPr>
                <w:rFonts w:hint="eastAsia" w:asciiTheme="minorEastAsia" w:hAnsiTheme="minorEastAsia" w:eastAsiaTheme="minorEastAsia" w:cstheme="minorEastAsia"/>
                <w:color w:val="auto"/>
                <w:kern w:val="2"/>
                <w:sz w:val="21"/>
                <w:szCs w:val="21"/>
                <w:highlight w:val="none"/>
                <w:lang w:val="en-US" w:eastAsia="zh-CN" w:bidi="ar-SA"/>
              </w:rPr>
              <w:t>（评分范围：2，1，0）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1418D94E">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分</w:t>
            </w:r>
          </w:p>
        </w:tc>
      </w:tr>
      <w:tr w14:paraId="1A12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2FC7A2F3">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vAlign w:val="center"/>
          </w:tcPr>
          <w:p w14:paraId="0200D162">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04AF5C6">
            <w:pPr>
              <w:spacing w:line="360" w:lineRule="auto"/>
              <w:ind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售后服务方案（包括但不限于对售后服务响应时间、方式、售后服务承诺、服务能力</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w:t>
            </w:r>
          </w:p>
          <w:p w14:paraId="51E1ED89">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服务响应</w:t>
            </w:r>
            <w:r>
              <w:rPr>
                <w:rFonts w:hint="eastAsia" w:asciiTheme="minorEastAsia" w:hAnsiTheme="minorEastAsia" w:eastAsiaTheme="minorEastAsia" w:cstheme="minorEastAsia"/>
                <w:color w:val="auto"/>
                <w:sz w:val="21"/>
                <w:szCs w:val="21"/>
                <w:highlight w:val="none"/>
                <w:lang w:val="en-US" w:eastAsia="zh-CN"/>
              </w:rPr>
              <w:t>方案0-3分</w:t>
            </w:r>
            <w:r>
              <w:rPr>
                <w:rFonts w:hint="eastAsia" w:asciiTheme="minorEastAsia" w:hAnsiTheme="minorEastAsia" w:eastAsiaTheme="minorEastAsia" w:cstheme="minorEastAsia"/>
                <w:color w:val="auto"/>
                <w:kern w:val="2"/>
                <w:sz w:val="21"/>
                <w:szCs w:val="21"/>
                <w:highlight w:val="none"/>
                <w:lang w:val="en-US" w:eastAsia="zh-CN" w:bidi="ar-SA"/>
              </w:rPr>
              <w:t>（评分范围：3，2，1，0）</w:t>
            </w:r>
          </w:p>
          <w:p w14:paraId="008C7D5F">
            <w:pPr>
              <w:numPr>
                <w:ilvl w:val="0"/>
                <w:numId w:val="0"/>
              </w:num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2、质保期在满足招标文件的规定情况下所有产品质保期每增加3个月得1分，最高得2分</w:t>
            </w:r>
          </w:p>
          <w:p w14:paraId="025B259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投入</w:t>
            </w:r>
            <w:r>
              <w:rPr>
                <w:rFonts w:hint="eastAsia" w:asciiTheme="minorEastAsia" w:hAnsiTheme="minorEastAsia" w:eastAsiaTheme="minorEastAsia" w:cstheme="minorEastAsia"/>
                <w:color w:val="auto"/>
                <w:sz w:val="21"/>
                <w:szCs w:val="21"/>
                <w:highlight w:val="none"/>
              </w:rPr>
              <w:t>售后服务人员</w:t>
            </w:r>
            <w:r>
              <w:rPr>
                <w:rFonts w:hint="eastAsia" w:asciiTheme="minorEastAsia" w:hAnsiTheme="minorEastAsia" w:eastAsiaTheme="minorEastAsia" w:cstheme="minorEastAsia"/>
                <w:color w:val="auto"/>
                <w:sz w:val="21"/>
                <w:szCs w:val="21"/>
                <w:highlight w:val="none"/>
                <w:lang w:val="en-US" w:eastAsia="zh-CN"/>
              </w:rPr>
              <w:t>方案0-2分</w:t>
            </w:r>
            <w:r>
              <w:rPr>
                <w:rFonts w:hint="eastAsia" w:asciiTheme="minorEastAsia" w:hAnsiTheme="minorEastAsia" w:eastAsiaTheme="minorEastAsia" w:cstheme="minorEastAsia"/>
                <w:color w:val="auto"/>
                <w:kern w:val="2"/>
                <w:sz w:val="21"/>
                <w:szCs w:val="21"/>
                <w:highlight w:val="none"/>
                <w:lang w:val="en-US" w:eastAsia="zh-CN" w:bidi="ar-SA"/>
              </w:rPr>
              <w:t>（评分范围：2，1，0.5，0）</w:t>
            </w:r>
          </w:p>
          <w:p w14:paraId="06AFDA51">
            <w:pPr>
              <w:pStyle w:val="9"/>
              <w:spacing w:line="360" w:lineRule="auto"/>
              <w:ind w:firstLine="420" w:firstLineChars="200"/>
              <w:rPr>
                <w:rFonts w:hint="eastAsia" w:asciiTheme="minorEastAsia" w:hAnsiTheme="minorEastAsia" w:eastAsiaTheme="minorEastAsia" w:cstheme="minorEastAsia"/>
                <w:snapToGrid w:val="0"/>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4、质保期内服务方案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5B0D5D0">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分</w:t>
            </w:r>
          </w:p>
        </w:tc>
      </w:tr>
      <w:tr w14:paraId="0F0A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1144" w:type="dxa"/>
            <w:vMerge w:val="continue"/>
            <w:tcBorders>
              <w:left w:val="single" w:color="000000" w:sz="4" w:space="0"/>
              <w:right w:val="single" w:color="000000" w:sz="4" w:space="0"/>
            </w:tcBorders>
            <w:vAlign w:val="center"/>
          </w:tcPr>
          <w:p w14:paraId="40E25276">
            <w:pPr>
              <w:widowControl/>
              <w:jc w:val="center"/>
              <w:rPr>
                <w:rFonts w:hint="eastAsia" w:asciiTheme="minorEastAsia" w:hAnsiTheme="minorEastAsia" w:eastAsiaTheme="minorEastAsia" w:cstheme="minorEastAsia"/>
                <w:szCs w:val="21"/>
              </w:rPr>
            </w:pPr>
          </w:p>
        </w:tc>
        <w:tc>
          <w:tcPr>
            <w:tcW w:w="1134" w:type="dxa"/>
            <w:tcBorders>
              <w:left w:val="single" w:color="000000" w:sz="4" w:space="0"/>
              <w:bottom w:val="single" w:color="000000" w:sz="4" w:space="0"/>
              <w:right w:val="single" w:color="000000" w:sz="4" w:space="0"/>
            </w:tcBorders>
            <w:vAlign w:val="center"/>
          </w:tcPr>
          <w:p w14:paraId="262209B9">
            <w:pPr>
              <w:widowControl/>
              <w:spacing w:line="360" w:lineRule="auto"/>
              <w:jc w:val="left"/>
              <w:rPr>
                <w:rFonts w:hint="eastAsia" w:asciiTheme="minorEastAsia" w:hAnsiTheme="minorEastAsia" w:eastAsiaTheme="minorEastAsia" w:cstheme="minorEastAsia"/>
                <w:color w:val="auto"/>
                <w:spacing w:val="0"/>
                <w:sz w:val="21"/>
                <w:szCs w:val="21"/>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3B5ACF39">
            <w:pPr>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项目产品质量保障措施及方案</w:t>
            </w:r>
            <w:r>
              <w:rPr>
                <w:rFonts w:hint="eastAsia" w:asciiTheme="minorEastAsia" w:hAnsiTheme="minorEastAsia" w:eastAsiaTheme="minorEastAsia" w:cstheme="minorEastAsia"/>
                <w:color w:val="auto"/>
                <w:kern w:val="2"/>
                <w:sz w:val="21"/>
                <w:szCs w:val="21"/>
                <w:highlight w:val="none"/>
                <w:lang w:val="en-US" w:eastAsia="zh-CN" w:bidi="ar-SA"/>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367A3B">
            <w:pPr>
              <w:spacing w:line="36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tc>
      </w:tr>
    </w:tbl>
    <w:p w14:paraId="224E46A5">
      <w:pPr>
        <w:pStyle w:val="12"/>
        <w:snapToGrid w:val="0"/>
        <w:spacing w:line="360" w:lineRule="auto"/>
        <w:ind w:firstLine="0"/>
        <w:rPr>
          <w:rFonts w:hAnsi="宋体"/>
          <w:sz w:val="21"/>
          <w:szCs w:val="21"/>
        </w:rPr>
      </w:pPr>
    </w:p>
    <w:p w14:paraId="543D07D0">
      <w:pPr>
        <w:pStyle w:val="12"/>
        <w:snapToGrid w:val="0"/>
        <w:spacing w:line="360" w:lineRule="auto"/>
        <w:ind w:firstLine="0"/>
        <w:rPr>
          <w:rFonts w:hAnsi="宋体"/>
          <w:sz w:val="21"/>
          <w:szCs w:val="21"/>
        </w:rPr>
      </w:pPr>
    </w:p>
    <w:p w14:paraId="34AA5D0D">
      <w:pPr>
        <w:pStyle w:val="12"/>
        <w:snapToGrid w:val="0"/>
        <w:spacing w:line="360" w:lineRule="auto"/>
        <w:ind w:firstLine="0"/>
        <w:rPr>
          <w:rFonts w:hAnsi="宋体"/>
          <w:sz w:val="21"/>
          <w:szCs w:val="21"/>
        </w:rPr>
      </w:pPr>
    </w:p>
    <w:p w14:paraId="0517A8D2">
      <w:pPr>
        <w:pStyle w:val="12"/>
        <w:snapToGrid w:val="0"/>
        <w:spacing w:line="360" w:lineRule="auto"/>
        <w:ind w:firstLine="0"/>
        <w:rPr>
          <w:rFonts w:hAnsi="宋体"/>
          <w:sz w:val="21"/>
          <w:szCs w:val="21"/>
        </w:rPr>
      </w:pPr>
    </w:p>
    <w:p w14:paraId="5BC23C0D">
      <w:pPr>
        <w:pStyle w:val="12"/>
        <w:snapToGrid w:val="0"/>
        <w:spacing w:line="360" w:lineRule="auto"/>
        <w:ind w:firstLine="0"/>
        <w:rPr>
          <w:rFonts w:hAnsi="宋体"/>
          <w:sz w:val="21"/>
          <w:szCs w:val="21"/>
        </w:rPr>
      </w:pPr>
    </w:p>
    <w:p w14:paraId="0BB7B12D">
      <w:pPr>
        <w:pStyle w:val="12"/>
        <w:snapToGrid w:val="0"/>
        <w:spacing w:line="360" w:lineRule="auto"/>
        <w:ind w:firstLine="0"/>
        <w:rPr>
          <w:rFonts w:hAnsi="宋体"/>
          <w:sz w:val="21"/>
          <w:szCs w:val="21"/>
        </w:rPr>
      </w:pPr>
    </w:p>
    <w:p w14:paraId="2743FC19">
      <w:pPr>
        <w:pStyle w:val="12"/>
        <w:snapToGrid w:val="0"/>
        <w:spacing w:line="360" w:lineRule="auto"/>
        <w:ind w:firstLine="0"/>
        <w:rPr>
          <w:rFonts w:hAnsi="宋体"/>
          <w:sz w:val="21"/>
          <w:szCs w:val="21"/>
        </w:rPr>
      </w:pPr>
    </w:p>
    <w:p w14:paraId="7ACE0C46">
      <w:pPr>
        <w:pStyle w:val="12"/>
        <w:snapToGrid w:val="0"/>
        <w:spacing w:line="360" w:lineRule="auto"/>
        <w:ind w:firstLine="0"/>
        <w:rPr>
          <w:rFonts w:hAnsi="宋体"/>
          <w:sz w:val="21"/>
          <w:szCs w:val="21"/>
        </w:rPr>
      </w:pPr>
    </w:p>
    <w:p w14:paraId="6845C178">
      <w:pPr>
        <w:pStyle w:val="12"/>
        <w:snapToGrid w:val="0"/>
        <w:spacing w:line="360" w:lineRule="auto"/>
        <w:ind w:firstLine="0"/>
        <w:rPr>
          <w:rFonts w:hAnsi="宋体"/>
          <w:sz w:val="21"/>
          <w:szCs w:val="21"/>
        </w:rPr>
      </w:pPr>
    </w:p>
    <w:p w14:paraId="35BE5009">
      <w:pPr>
        <w:snapToGrid w:val="0"/>
        <w:spacing w:line="360" w:lineRule="auto"/>
        <w:jc w:val="center"/>
        <w:outlineLvl w:val="0"/>
        <w:rPr>
          <w:rFonts w:hint="eastAsia" w:ascii="宋体" w:hAnsi="宋体"/>
          <w:b/>
          <w:sz w:val="28"/>
          <w:szCs w:val="28"/>
          <w:highlight w:val="yellow"/>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14:paraId="287F90D1">
      <w:pPr>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第四章  招标内容及需求</w:t>
      </w:r>
      <w:bookmarkEnd w:id="11"/>
    </w:p>
    <w:p w14:paraId="28B2D994">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一、 项目概况</w:t>
      </w:r>
    </w:p>
    <w:p w14:paraId="41C597A1">
      <w:pPr>
        <w:pStyle w:val="9"/>
        <w:spacing w:before="275" w:line="240" w:lineRule="auto"/>
        <w:ind w:right="548" w:firstLine="404" w:firstLineChars="200"/>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本次采购内容为西溪院区1号楼、2号楼及3号楼等区域整体宣传标识规划布设</w:t>
      </w:r>
      <w:r>
        <w:rPr>
          <w:rFonts w:hint="eastAsia" w:ascii="宋体" w:hAnsi="宋体" w:cs="宋体"/>
          <w:spacing w:val="-4"/>
          <w:sz w:val="21"/>
          <w:szCs w:val="21"/>
          <w:lang w:val="en-US" w:eastAsia="zh-CN"/>
        </w:rPr>
        <w:t>。</w:t>
      </w:r>
    </w:p>
    <w:p w14:paraId="6244B530">
      <w:pPr>
        <w:pStyle w:val="9"/>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二、 招标内容与具体需求</w:t>
      </w:r>
    </w:p>
    <w:tbl>
      <w:tblPr>
        <w:tblStyle w:val="21"/>
        <w:tblW w:w="14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2828"/>
        <w:gridCol w:w="5001"/>
        <w:gridCol w:w="4889"/>
        <w:gridCol w:w="859"/>
      </w:tblGrid>
      <w:tr w14:paraId="0B8A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14:paraId="723440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楼栋号</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14:paraId="479ED1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46132C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内容</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684AFE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参数要求</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CC96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6380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C9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一号楼</w:t>
            </w: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5CD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电梯厅及电梯轿厢</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5E3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楼层指示牌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44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尺寸：500*650</w:t>
            </w:r>
            <w:r>
              <w:rPr>
                <w:rFonts w:hint="default" w:asciiTheme="minorEastAsia" w:hAnsiTheme="minorEastAsia" w:eastAsiaTheme="minorEastAsia" w:cstheme="minorEastAsia"/>
                <w:i w:val="0"/>
                <w:iCs w:val="0"/>
                <w:color w:val="000000"/>
                <w:kern w:val="0"/>
                <w:sz w:val="18"/>
                <w:szCs w:val="18"/>
                <w:u w:val="none"/>
                <w:lang w:val="en-US" w:eastAsia="zh-CN" w:bidi="ar"/>
              </w:rPr>
              <w:t>*5mm</w:t>
            </w:r>
          </w:p>
          <w:p w14:paraId="0E62D7F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亚克力底板，信息内容丝印 / 高精 UV 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6B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9套</w:t>
            </w:r>
          </w:p>
        </w:tc>
      </w:tr>
      <w:tr w14:paraId="2974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8B430">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D8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电梯厅、楼道</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1F0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39FB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尺寸：300*20</w:t>
            </w:r>
            <w:r>
              <w:rPr>
                <w:rFonts w:hint="default" w:asciiTheme="minorEastAsia" w:hAnsiTheme="minorEastAsia" w:eastAsiaTheme="minorEastAsia" w:cstheme="minorEastAsia"/>
                <w:i w:val="0"/>
                <w:iCs w:val="0"/>
                <w:color w:val="000000"/>
                <w:kern w:val="0"/>
                <w:sz w:val="18"/>
                <w:szCs w:val="18"/>
                <w:u w:val="none"/>
                <w:lang w:val="en-US" w:eastAsia="zh-CN" w:bidi="ar"/>
              </w:rPr>
              <w:t>mm</w:t>
            </w:r>
          </w:p>
          <w:p w14:paraId="47B69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不锈钢围边烤漆字带安装字模、PV垫片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2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36套</w:t>
            </w:r>
          </w:p>
        </w:tc>
      </w:tr>
      <w:tr w14:paraId="2EFB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A134E">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FF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7B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门牌、指示牌、卫生间标识牌等</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EEB4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尺寸：273*110</w:t>
            </w:r>
            <w:r>
              <w:rPr>
                <w:rFonts w:hint="default" w:asciiTheme="minorEastAsia" w:hAnsiTheme="minorEastAsia" w:eastAsiaTheme="minorEastAsia" w:cstheme="minorEastAsia"/>
                <w:i w:val="0"/>
                <w:iCs w:val="0"/>
                <w:color w:val="000000"/>
                <w:kern w:val="0"/>
                <w:sz w:val="18"/>
                <w:szCs w:val="18"/>
                <w:u w:val="none"/>
                <w:lang w:val="en-US" w:eastAsia="zh-CN" w:bidi="ar"/>
              </w:rPr>
              <w:t>*5mm</w:t>
            </w:r>
          </w:p>
          <w:p w14:paraId="203002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亚克力</w:t>
            </w:r>
            <w:r>
              <w:rPr>
                <w:rFonts w:hint="eastAsia" w:asciiTheme="minorEastAsia" w:hAnsiTheme="minorEastAsia" w:eastAsiaTheme="minorEastAsia" w:cstheme="minorEastAsia"/>
                <w:i w:val="0"/>
                <w:iCs w:val="0"/>
                <w:color w:val="000000"/>
                <w:kern w:val="0"/>
                <w:sz w:val="18"/>
                <w:szCs w:val="18"/>
                <w:u w:val="none"/>
                <w:lang w:val="en-US" w:eastAsia="zh-CN" w:bidi="ar"/>
              </w:rPr>
              <w:t>板</w:t>
            </w:r>
            <w:r>
              <w:rPr>
                <w:rFonts w:hint="default" w:asciiTheme="minorEastAsia" w:hAnsiTheme="minorEastAsia" w:eastAsiaTheme="minorEastAsia" w:cstheme="minorEastAsia"/>
                <w:i w:val="0"/>
                <w:iCs w:val="0"/>
                <w:color w:val="000000"/>
                <w:kern w:val="0"/>
                <w:sz w:val="18"/>
                <w:szCs w:val="18"/>
                <w:u w:val="none"/>
                <w:lang w:val="en-US" w:eastAsia="zh-CN" w:bidi="ar"/>
              </w:rPr>
              <w:t>，高精UV双面打印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E0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76套</w:t>
            </w:r>
          </w:p>
        </w:tc>
      </w:tr>
      <w:tr w14:paraId="4BA7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C1875">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3F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管道井</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0DD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标识牌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18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3M贴纸 0.05*0.11m</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C9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21套</w:t>
            </w:r>
          </w:p>
        </w:tc>
      </w:tr>
      <w:tr w14:paraId="25EA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BD177">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A0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楼梯间</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802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导视牌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682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尺寸：400*225*5</w:t>
            </w:r>
            <w:r>
              <w:rPr>
                <w:rFonts w:hint="default" w:asciiTheme="minorEastAsia" w:hAnsiTheme="minorEastAsia" w:eastAsiaTheme="minorEastAsia" w:cstheme="minorEastAsia"/>
                <w:i w:val="0"/>
                <w:iCs w:val="0"/>
                <w:color w:val="000000"/>
                <w:kern w:val="0"/>
                <w:sz w:val="18"/>
                <w:szCs w:val="18"/>
                <w:u w:val="none"/>
                <w:lang w:val="en-US" w:eastAsia="zh-CN" w:bidi="ar"/>
              </w:rPr>
              <w:t>mm</w:t>
            </w:r>
          </w:p>
          <w:p w14:paraId="22FEE8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w:t>
            </w:r>
            <w:r>
              <w:rPr>
                <w:rFonts w:hint="default" w:asciiTheme="minorEastAsia" w:hAnsiTheme="minorEastAsia" w:eastAsiaTheme="minorEastAsia" w:cstheme="minorEastAsia"/>
                <w:i w:val="0"/>
                <w:iCs w:val="0"/>
                <w:color w:val="000000"/>
                <w:kern w:val="0"/>
                <w:sz w:val="18"/>
                <w:szCs w:val="18"/>
                <w:u w:val="none"/>
                <w:lang w:val="en-US" w:eastAsia="zh-CN" w:bidi="ar"/>
              </w:rPr>
              <w:t>加面板高精</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default" w:asciiTheme="minorEastAsia" w:hAnsiTheme="minorEastAsia" w:eastAsiaTheme="minorEastAsia" w:cstheme="minorEastAsia"/>
                <w:i w:val="0"/>
                <w:iCs w:val="0"/>
                <w:color w:val="000000"/>
                <w:kern w:val="0"/>
                <w:sz w:val="18"/>
                <w:szCs w:val="18"/>
                <w:u w:val="none"/>
                <w:lang w:val="en-US" w:eastAsia="zh-CN" w:bidi="ar"/>
              </w:rPr>
              <w:t>UV打印背喷</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8E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12套</w:t>
            </w:r>
          </w:p>
        </w:tc>
      </w:tr>
      <w:tr w14:paraId="2753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2EF50">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97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C14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服务台</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EF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尺寸：10mm厚亚克力立体镂空字</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B0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4套</w:t>
            </w:r>
          </w:p>
        </w:tc>
      </w:tr>
      <w:tr w14:paraId="1147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F329">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7E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门厅文化宣传</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207A9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2186940" cy="1640205"/>
                  <wp:effectExtent l="0" t="0" r="22860" b="10795"/>
                  <wp:docPr id="11" name="图片 11" descr="5324175864471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3241758644714_.pic"/>
                          <pic:cNvPicPr>
                            <a:picLocks noChangeAspect="1"/>
                          </pic:cNvPicPr>
                        </pic:nvPicPr>
                        <pic:blipFill>
                          <a:blip r:embed="rId8"/>
                          <a:stretch>
                            <a:fillRect/>
                          </a:stretch>
                        </pic:blipFill>
                        <pic:spPr>
                          <a:xfrm>
                            <a:off x="0" y="0"/>
                            <a:ext cx="2186940" cy="164020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488A70E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尺寸：2400*400mm</w:t>
            </w:r>
          </w:p>
          <w:p w14:paraId="557794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不锈钢折边烤漆➕亚克力字烤漆</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BCCC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 套</w:t>
            </w:r>
          </w:p>
        </w:tc>
      </w:tr>
      <w:tr w14:paraId="0F77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99E87">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1B5B3">
            <w:pPr>
              <w:jc w:val="center"/>
              <w:rPr>
                <w:rFonts w:hint="eastAsia" w:asciiTheme="minorEastAsia" w:hAnsiTheme="minorEastAsia" w:eastAsiaTheme="minorEastAsia" w:cstheme="minorEastAsia"/>
                <w:i w:val="0"/>
                <w:iCs w:val="0"/>
                <w:color w:val="000000"/>
                <w:sz w:val="21"/>
                <w:szCs w:val="21"/>
                <w:u w:val="none"/>
              </w:rPr>
            </w:pPr>
          </w:p>
          <w:p w14:paraId="10E37C69">
            <w:pPr>
              <w:jc w:val="left"/>
              <w:rPr>
                <w:rFonts w:hint="eastAsia" w:ascii="Calibri" w:hAnsi="Calibri" w:eastAsia="宋体" w:cs="黑体"/>
                <w:kern w:val="2"/>
                <w:sz w:val="21"/>
                <w:szCs w:val="22"/>
                <w:lang w:val="en-US" w:eastAsia="zh-CN" w:bidi="ar-SA"/>
              </w:rPr>
            </w:pPr>
          </w:p>
          <w:p w14:paraId="3002323A">
            <w:pPr>
              <w:jc w:val="left"/>
              <w:rPr>
                <w:rFonts w:hint="default"/>
                <w:lang w:val="en-US" w:eastAsia="zh-CN"/>
              </w:rPr>
            </w:pPr>
            <w:r>
              <w:rPr>
                <w:rFonts w:hint="eastAsia"/>
                <w:lang w:val="en-US" w:eastAsia="zh-CN"/>
              </w:rPr>
              <w:t>2</w:t>
            </w: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5DF40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2304415" cy="1298575"/>
                  <wp:effectExtent l="0" t="0" r="635" b="15875"/>
                  <wp:docPr id="8" name="图片 8" descr="1464175864431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4641758644314_.pic"/>
                          <pic:cNvPicPr>
                            <a:picLocks noChangeAspect="1"/>
                          </pic:cNvPicPr>
                        </pic:nvPicPr>
                        <pic:blipFill>
                          <a:blip r:embed="rId9"/>
                          <a:stretch>
                            <a:fillRect/>
                          </a:stretch>
                        </pic:blipFill>
                        <pic:spPr>
                          <a:xfrm>
                            <a:off x="0" y="0"/>
                            <a:ext cx="2304415" cy="129857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515FF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文化墙尺寸：1.88*3.95</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2FBAED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需根据现场实际出具设计方案，确认后实施</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9F0A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28D9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9F20B">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9B8C7">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574C2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2530475" cy="1423035"/>
                  <wp:effectExtent l="0" t="0" r="9525" b="24765"/>
                  <wp:docPr id="9" name="图片 9" descr="53211758644478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3211758644478_.pic"/>
                          <pic:cNvPicPr>
                            <a:picLocks noChangeAspect="1"/>
                          </pic:cNvPicPr>
                        </pic:nvPicPr>
                        <pic:blipFill>
                          <a:blip r:embed="rId10"/>
                          <a:stretch>
                            <a:fillRect/>
                          </a:stretch>
                        </pic:blipFill>
                        <pic:spPr>
                          <a:xfrm>
                            <a:off x="0" y="0"/>
                            <a:ext cx="2530475" cy="142303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E55A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尺寸：660*275mm</w:t>
            </w:r>
          </w:p>
          <w:p w14:paraId="6724EB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大厅背景墙浮雕需要出设计方案，确认后实施</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A5A2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54C6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BCD2">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C6B1E">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370DBD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挂画定制</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2C5E82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80*50cm</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9EA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10套 </w:t>
            </w:r>
          </w:p>
        </w:tc>
      </w:tr>
      <w:tr w14:paraId="58CD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0B430">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99932">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1F8153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大厅挂画</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1C4D72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130*62cm</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2128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2C85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C220">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D3543">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053AC0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字画</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74D8C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120*40cm</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3FA1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79B9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FA716">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A3FB4">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602804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绿植摆件</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0409B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绿植摆件</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86C2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4套</w:t>
            </w:r>
          </w:p>
        </w:tc>
      </w:tr>
      <w:tr w14:paraId="20A7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23529">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B912B">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noWrap w:val="0"/>
            <w:vAlign w:val="center"/>
          </w:tcPr>
          <w:p w14:paraId="2D272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bdr w:val="single" w:color="000000" w:sz="4" w:space="0"/>
                <w:lang w:val="en-US" w:eastAsia="zh-CN" w:bidi="ar"/>
              </w:rPr>
              <w:drawing>
                <wp:inline distT="0" distB="0" distL="114300" distR="114300">
                  <wp:extent cx="1751330" cy="985520"/>
                  <wp:effectExtent l="0" t="0" r="1270" b="5080"/>
                  <wp:docPr id="10" name="图片 10" descr="/Users/fu/Library/Containers/com.kingsoft.wpsoffice.mac/Data/tmp/picturecompress_2025092400221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Users/fu/Library/Containers/com.kingsoft.wpsoffice.mac/Data/tmp/picturecompress_20250924002217/output_1.jpgoutput_1"/>
                          <pic:cNvPicPr>
                            <a:picLocks noChangeAspect="1"/>
                          </pic:cNvPicPr>
                        </pic:nvPicPr>
                        <pic:blipFill>
                          <a:blip r:embed="rId11"/>
                          <a:stretch>
                            <a:fillRect/>
                          </a:stretch>
                        </pic:blipFill>
                        <pic:spPr>
                          <a:xfrm>
                            <a:off x="0" y="0"/>
                            <a:ext cx="1751330" cy="985520"/>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475D0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背景墙大字-尺寸：3800*385mm</w:t>
            </w:r>
          </w:p>
          <w:p w14:paraId="50B3F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亚克力金属烤漆字</w:t>
            </w:r>
          </w:p>
          <w:p w14:paraId="7E624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服务台小字-尺寸：850*179mm</w:t>
            </w:r>
          </w:p>
          <w:p w14:paraId="58B60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亚克力立体字烤漆</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51F86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145F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CB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二号楼</w:t>
            </w: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23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CD5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3A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尺寸：0.28*0.21m</w:t>
            </w:r>
          </w:p>
          <w:p w14:paraId="67930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F9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23套</w:t>
            </w:r>
          </w:p>
        </w:tc>
      </w:tr>
      <w:tr w14:paraId="5955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F7E4C">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56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2B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标识更新</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28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尺寸：0.65*0.50</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1DDB8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8B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20套</w:t>
            </w:r>
          </w:p>
        </w:tc>
      </w:tr>
      <w:tr w14:paraId="3CA1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679D3">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A7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电梯厅及电梯轿箱</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027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导视标牌更新</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D35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尺寸：0.65*0.50</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74AC8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5mm亚克力底板，信息内容丝印 / 高精 UV 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BF0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9套</w:t>
            </w:r>
          </w:p>
        </w:tc>
      </w:tr>
      <w:tr w14:paraId="6205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0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三号楼</w:t>
            </w: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19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餐厅</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E2C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大厅（前面）-标语</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36BC6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尺寸：0.35*0.20m</w:t>
            </w:r>
          </w:p>
          <w:p w14:paraId="202A9E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2DE5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3套</w:t>
            </w:r>
          </w:p>
        </w:tc>
      </w:tr>
      <w:tr w14:paraId="04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76AF7">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3B712">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3AF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大厅（后面）-标语、规范贴纸</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19919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尺寸：0.35*0.20m</w:t>
            </w:r>
          </w:p>
          <w:p w14:paraId="05DFD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ABEA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512C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AEBE5">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DBB1A">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785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出餐口-悬挂标牌</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7099FD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0.35*0.20m</w:t>
            </w:r>
          </w:p>
          <w:p w14:paraId="0609CDC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 丝印或UV打印</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3971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6EF8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1376A">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6AE59">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348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出餐口-标语</w:t>
            </w:r>
          </w:p>
        </w:tc>
        <w:tc>
          <w:tcPr>
            <w:tcW w:w="4889" w:type="dxa"/>
            <w:tcBorders>
              <w:top w:val="single" w:color="000000" w:sz="4" w:space="0"/>
              <w:left w:val="single" w:color="000000" w:sz="4" w:space="0"/>
              <w:bottom w:val="single" w:color="000000" w:sz="4" w:space="0"/>
              <w:right w:val="single" w:color="000000" w:sz="4" w:space="0"/>
            </w:tcBorders>
            <w:noWrap w:val="0"/>
            <w:vAlign w:val="center"/>
          </w:tcPr>
          <w:p w14:paraId="7CD8C8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尺寸：0.30*0.20m贴纸</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990C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2套</w:t>
            </w:r>
          </w:p>
        </w:tc>
      </w:tr>
      <w:tr w14:paraId="56E9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14A15">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187E9">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029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厕所通道-标语、规范贴纸</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5518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尺寸：0.27*0.11m贴纸</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30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7CD5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BA2A7">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E4BBF">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1AF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包厢-标牌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CB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尺寸：0.27*0.11m</w:t>
            </w:r>
          </w:p>
          <w:p w14:paraId="2FD95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B8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3套</w:t>
            </w:r>
          </w:p>
        </w:tc>
      </w:tr>
      <w:tr w14:paraId="13BA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DCAC3">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1A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电梯以及电梯口</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05A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导视标牌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2F76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尺寸：0.65*0.50</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11C36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eastAsiaTheme="minorEastAsia" w:cstheme="minorEastAsia"/>
                <w:i w:val="0"/>
                <w:iCs w:val="0"/>
                <w:color w:val="000000"/>
                <w:kern w:val="0"/>
                <w:sz w:val="18"/>
                <w:szCs w:val="18"/>
                <w:u w:val="none"/>
                <w:lang w:val="en-US" w:eastAsia="zh-CN" w:bidi="ar"/>
              </w:rPr>
              <w:t>5mm亚克力底板，信息内容丝印 / 高精 UV 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43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9套</w:t>
            </w:r>
          </w:p>
        </w:tc>
      </w:tr>
      <w:tr w14:paraId="3CC8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C7B99">
            <w:pPr>
              <w:jc w:val="center"/>
              <w:rPr>
                <w:rFonts w:hint="eastAsia" w:asciiTheme="minorEastAsia" w:hAnsiTheme="minorEastAsia" w:eastAsiaTheme="minorEastAsia" w:cstheme="minorEastAsia"/>
                <w:i w:val="0"/>
                <w:iCs w:val="0"/>
                <w:color w:val="000000"/>
                <w:sz w:val="21"/>
                <w:szCs w:val="21"/>
                <w:u w:val="none"/>
              </w:rPr>
            </w:pPr>
          </w:p>
        </w:tc>
        <w:tc>
          <w:tcPr>
            <w:tcW w:w="282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145CC">
            <w:pPr>
              <w:jc w:val="center"/>
              <w:rPr>
                <w:rFonts w:hint="eastAsia" w:asciiTheme="minorEastAsia" w:hAnsiTheme="minorEastAsia" w:eastAsiaTheme="minorEastAsia" w:cstheme="minorEastAsia"/>
                <w:i w:val="0"/>
                <w:iCs w:val="0"/>
                <w:color w:val="000000"/>
                <w:sz w:val="21"/>
                <w:szCs w:val="21"/>
                <w:u w:val="none"/>
              </w:rPr>
            </w:pP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B28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楼层号</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8C37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w:t>
            </w:r>
            <w:r>
              <w:rPr>
                <w:rFonts w:hint="eastAsia" w:asciiTheme="minorEastAsia" w:hAnsiTheme="minorEastAsia" w:eastAsiaTheme="minorEastAsia" w:cstheme="minorEastAsia"/>
                <w:i w:val="0"/>
                <w:iCs w:val="0"/>
                <w:color w:val="000000"/>
                <w:kern w:val="0"/>
                <w:sz w:val="21"/>
                <w:szCs w:val="21"/>
                <w:u w:val="none"/>
                <w:lang w:val="en-US" w:eastAsia="zh-CN" w:bidi="ar"/>
              </w:rPr>
              <w:t>0.3*0.2m</w:t>
            </w:r>
          </w:p>
          <w:p w14:paraId="09D3662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不锈钢围边烤漆字带安装字模、PV垫片</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E5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5DB4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26C87">
            <w:pPr>
              <w:jc w:val="center"/>
              <w:rPr>
                <w:rFonts w:hint="eastAsia" w:asciiTheme="minorEastAsia" w:hAnsiTheme="minorEastAsia" w:eastAsiaTheme="minorEastAsia" w:cstheme="minorEastAsia"/>
                <w:i w:val="0"/>
                <w:iCs w:val="0"/>
                <w:color w:val="000000"/>
                <w:sz w:val="21"/>
                <w:szCs w:val="21"/>
                <w:u w:val="none"/>
              </w:rPr>
            </w:pPr>
          </w:p>
        </w:tc>
        <w:tc>
          <w:tcPr>
            <w:tcW w:w="28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C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夹层及一层</w:t>
            </w:r>
          </w:p>
        </w:tc>
        <w:tc>
          <w:tcPr>
            <w:tcW w:w="50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648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标牌</w:t>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B0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尺寸：0.27*0.11m</w:t>
            </w:r>
          </w:p>
          <w:p w14:paraId="43DCB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亚克力底板➕高清UV打印</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DB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21套</w:t>
            </w:r>
          </w:p>
        </w:tc>
      </w:tr>
      <w:tr w14:paraId="7B7C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2E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公共区域</w:t>
            </w:r>
          </w:p>
        </w:tc>
        <w:tc>
          <w:tcPr>
            <w:tcW w:w="782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3F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医院入口大字更新</w:t>
            </w:r>
            <w:r>
              <w:rPr>
                <w:rFonts w:hint="eastAsia" w:asciiTheme="minorEastAsia" w:hAnsiTheme="minorEastAsia" w:eastAsiaTheme="minorEastAsia" w:cstheme="minorEastAsia"/>
                <w:i w:val="0"/>
                <w:iCs w:val="0"/>
                <w:color w:val="000000"/>
                <w:sz w:val="21"/>
                <w:szCs w:val="21"/>
                <w:u w:val="none"/>
              </w:rPr>
              <w:drawing>
                <wp:inline distT="0" distB="0" distL="114300" distR="114300">
                  <wp:extent cx="1387475" cy="780415"/>
                  <wp:effectExtent l="0" t="0" r="9525" b="6985"/>
                  <wp:docPr id="12" name="图片 12" descr="14651758644762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4651758644762_.pic_hd"/>
                          <pic:cNvPicPr>
                            <a:picLocks noChangeAspect="1"/>
                          </pic:cNvPicPr>
                        </pic:nvPicPr>
                        <pic:blipFill>
                          <a:blip r:embed="rId12"/>
                          <a:stretch>
                            <a:fillRect/>
                          </a:stretch>
                        </pic:blipFill>
                        <pic:spPr>
                          <a:xfrm>
                            <a:off x="0" y="0"/>
                            <a:ext cx="1387475" cy="780415"/>
                          </a:xfrm>
                          <a:prstGeom prst="rect">
                            <a:avLst/>
                          </a:prstGeom>
                        </pic:spPr>
                      </pic:pic>
                    </a:graphicData>
                  </a:graphic>
                </wp:inline>
              </w:drawing>
            </w:r>
          </w:p>
        </w:tc>
        <w:tc>
          <w:tcPr>
            <w:tcW w:w="48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5E0A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尺寸：1.5*8</w:t>
            </w:r>
            <w:r>
              <w:rPr>
                <w:rFonts w:hint="default" w:asciiTheme="minorEastAsia" w:hAnsiTheme="minorEastAsia" w:eastAsiaTheme="minorEastAsia" w:cstheme="minorEastAsia"/>
                <w:i w:val="0"/>
                <w:iCs w:val="0"/>
                <w:color w:val="000000"/>
                <w:kern w:val="0"/>
                <w:sz w:val="18"/>
                <w:szCs w:val="18"/>
                <w:u w:val="none"/>
                <w:lang w:val="en-US" w:eastAsia="zh-CN" w:bidi="ar"/>
              </w:rPr>
              <w:t>m</w:t>
            </w:r>
          </w:p>
          <w:p w14:paraId="731F2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需根据现场情况重新出设计方案，确认后拆除焊接打磨烤漆</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78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r>
      <w:tr w14:paraId="3C27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765"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00A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注：以上内容均需根据现场实际进行深化设计。上述内容及数量仅为基础参考值，具体按深化设计情况经采购人确认后为准。</w:t>
            </w:r>
          </w:p>
        </w:tc>
      </w:tr>
    </w:tbl>
    <w:p w14:paraId="16FC7491">
      <w:pPr>
        <w:pStyle w:val="9"/>
        <w:spacing w:before="275" w:line="240" w:lineRule="auto"/>
        <w:ind w:right="548" w:firstLine="404" w:firstLineChars="200"/>
        <w:rPr>
          <w:rFonts w:hint="eastAsia" w:ascii="宋体" w:hAnsi="宋体" w:eastAsia="宋体" w:cs="宋体"/>
          <w:color w:val="auto"/>
          <w:spacing w:val="-4"/>
          <w:sz w:val="21"/>
          <w:szCs w:val="21"/>
          <w:lang w:val="en-US" w:eastAsia="zh-CN"/>
        </w:rPr>
      </w:pPr>
    </w:p>
    <w:p w14:paraId="18FCFB80">
      <w:pPr>
        <w:rPr>
          <w:rFonts w:hint="default" w:ascii="Calibri" w:hAnsi="Calibri" w:eastAsia="宋体" w:cs="黑体"/>
          <w:spacing w:val="0"/>
          <w:sz w:val="21"/>
          <w:szCs w:val="22"/>
          <w:lang w:val="en-US" w:eastAsia="zh-CN"/>
        </w:rPr>
      </w:pPr>
    </w:p>
    <w:p w14:paraId="6AFB3418">
      <w:pPr>
        <w:adjustRightInd w:val="0"/>
        <w:snapToGrid w:val="0"/>
        <w:spacing w:line="300" w:lineRule="auto"/>
        <w:rPr>
          <w:rFonts w:hint="eastAsia" w:ascii="宋体" w:hAnsi="宋体" w:eastAsia="宋体" w:cs="宋体"/>
          <w:b/>
          <w:bCs/>
          <w:color w:val="000000"/>
          <w:sz w:val="28"/>
          <w:szCs w:val="28"/>
          <w:lang w:val="en-US" w:eastAsia="zh-CN"/>
        </w:rPr>
        <w:sectPr>
          <w:pgSz w:w="16838" w:h="11906" w:orient="landscape"/>
          <w:pgMar w:top="1803" w:right="1440" w:bottom="1803" w:left="1134"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bookmarkStart w:id="12" w:name="_Toc499805061"/>
    </w:p>
    <w:p w14:paraId="06E99CB9">
      <w:pPr>
        <w:numPr>
          <w:ilvl w:val="0"/>
          <w:numId w:val="0"/>
        </w:numPr>
        <w:adjustRightInd w:val="0"/>
        <w:snapToGrid w:val="0"/>
        <w:spacing w:line="300" w:lineRule="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三、商务要求</w:t>
      </w:r>
    </w:p>
    <w:tbl>
      <w:tblPr>
        <w:tblStyle w:val="21"/>
        <w:tblW w:w="93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9"/>
        <w:gridCol w:w="7584"/>
      </w:tblGrid>
      <w:tr w14:paraId="44B1A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711259B5">
            <w:pPr>
              <w:widowControl/>
              <w:ind w:firstLine="0" w:firstLineChars="0"/>
              <w:jc w:val="center"/>
              <w:textAlignment w:val="center"/>
              <w:rPr>
                <w:rFonts w:hint="eastAsia" w:ascii="宋体" w:hAnsi="宋体" w:cs="宋体"/>
                <w:kern w:val="0"/>
              </w:rPr>
            </w:pPr>
            <w:r>
              <w:rPr>
                <w:rFonts w:hint="eastAsia" w:ascii="宋体" w:hAnsi="宋体" w:cs="宋体"/>
                <w:kern w:val="0"/>
              </w:rPr>
              <w:t>质保期</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6DE23E7E">
            <w:pPr>
              <w:widowControl/>
              <w:ind w:firstLine="0" w:firstLineChars="0"/>
              <w:jc w:val="left"/>
              <w:textAlignment w:val="center"/>
              <w:rPr>
                <w:rFonts w:hint="eastAsia" w:ascii="宋体" w:hAnsi="宋体" w:cs="宋体"/>
                <w:kern w:val="0"/>
              </w:rPr>
            </w:pPr>
            <w:r>
              <w:rPr>
                <w:rFonts w:hint="eastAsia" w:ascii="宋体" w:hAnsi="宋体" w:cs="宋体"/>
                <w:kern w:val="0"/>
                <w:highlight w:val="none"/>
              </w:rPr>
              <w:t>自通过验收之日起不少于1年。</w:t>
            </w:r>
          </w:p>
        </w:tc>
      </w:tr>
      <w:tr w14:paraId="055AC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0209C144">
            <w:pPr>
              <w:widowControl/>
              <w:ind w:firstLine="0" w:firstLineChars="0"/>
              <w:jc w:val="center"/>
              <w:textAlignment w:val="center"/>
              <w:rPr>
                <w:rFonts w:hint="eastAsia" w:ascii="宋体" w:hAnsi="宋体" w:cs="宋体"/>
                <w:kern w:val="0"/>
              </w:rPr>
            </w:pPr>
            <w:r>
              <w:rPr>
                <w:rFonts w:hint="eastAsia" w:ascii="宋体" w:hAnsi="宋体" w:cs="宋体"/>
                <w:kern w:val="0"/>
              </w:rPr>
              <w:t>售后（技术）服务要求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14679A54">
            <w:pPr>
              <w:widowControl/>
              <w:ind w:firstLine="0" w:firstLineChars="0"/>
              <w:jc w:val="left"/>
              <w:textAlignment w:val="center"/>
              <w:rPr>
                <w:rFonts w:hint="eastAsia" w:ascii="宋体" w:hAnsi="宋体" w:cs="宋体"/>
                <w:kern w:val="0"/>
              </w:rPr>
            </w:pPr>
            <w:r>
              <w:rPr>
                <w:rFonts w:hint="eastAsia" w:ascii="宋体" w:hAnsi="宋体" w:cs="宋体"/>
                <w:kern w:val="0"/>
              </w:rPr>
              <w:t>1、质保期内非人为有意损坏实行包修、包换，时间自最终验收合格并交付使用之日起计算。在质保期内，如货物发生非人为的质量问题，成交人保证在接到电话通知后，立即响应，8小时内赶到现场修理、更换部件，3个工作日内不能修复的，必须采取提供备品备件等措施，以保证采购单位的正常使用；费用包含在项目总价中。</w:t>
            </w:r>
          </w:p>
          <w:p w14:paraId="56AE4AAD">
            <w:pPr>
              <w:widowControl/>
              <w:ind w:firstLine="0" w:firstLineChars="0"/>
              <w:jc w:val="left"/>
              <w:textAlignment w:val="center"/>
              <w:rPr>
                <w:rFonts w:hint="eastAsia" w:ascii="宋体" w:hAnsi="宋体" w:cs="宋体"/>
                <w:kern w:val="0"/>
              </w:rPr>
            </w:pPr>
            <w:r>
              <w:rPr>
                <w:rFonts w:hint="eastAsia" w:ascii="宋体" w:hAnsi="宋体" w:cs="宋体"/>
                <w:kern w:val="0"/>
              </w:rPr>
              <w:t>2、在合同货物质保期满后，成交人保证继续为采购方提供货物的维修服务，成交人须以不高于市场零售价格的配件价格向采购方提供零备件。</w:t>
            </w:r>
          </w:p>
          <w:p w14:paraId="0A376C4D">
            <w:pPr>
              <w:widowControl/>
              <w:ind w:firstLine="0" w:firstLineChars="0"/>
              <w:jc w:val="left"/>
              <w:textAlignment w:val="center"/>
              <w:rPr>
                <w:rFonts w:hint="eastAsia" w:ascii="宋体" w:hAnsi="宋体" w:cs="宋体"/>
                <w:kern w:val="0"/>
              </w:rPr>
            </w:pPr>
            <w:r>
              <w:rPr>
                <w:rFonts w:hint="eastAsia" w:ascii="宋体" w:hAnsi="宋体" w:cs="宋体"/>
                <w:kern w:val="0"/>
              </w:rPr>
              <w:t xml:space="preserve">3、成交人应按响应文件中的承诺,进行其他售后服务工作。   </w:t>
            </w:r>
          </w:p>
        </w:tc>
      </w:tr>
      <w:tr w14:paraId="3C05A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1560F92D">
            <w:pPr>
              <w:widowControl/>
              <w:ind w:firstLine="0" w:firstLineChars="0"/>
              <w:jc w:val="center"/>
              <w:textAlignment w:val="center"/>
              <w:rPr>
                <w:rFonts w:hint="eastAsia" w:ascii="宋体" w:hAnsi="宋体" w:cs="宋体"/>
                <w:kern w:val="0"/>
              </w:rPr>
            </w:pPr>
            <w:r>
              <w:rPr>
                <w:rFonts w:hint="eastAsia" w:ascii="宋体" w:hAnsi="宋体" w:cs="宋体"/>
                <w:kern w:val="0"/>
              </w:rPr>
              <w:t>交货（服务）时间及地点</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6EBACAEF">
            <w:pPr>
              <w:widowControl/>
              <w:ind w:firstLine="0" w:firstLineChars="0"/>
              <w:jc w:val="left"/>
              <w:textAlignment w:val="center"/>
              <w:rPr>
                <w:rFonts w:hint="eastAsia" w:ascii="宋体" w:hAnsi="宋体" w:cs="宋体"/>
                <w:kern w:val="0"/>
              </w:rPr>
            </w:pPr>
            <w:r>
              <w:rPr>
                <w:rFonts w:hint="eastAsia" w:ascii="宋体" w:hAnsi="宋体" w:cs="宋体"/>
                <w:kern w:val="0"/>
              </w:rPr>
              <w:t>时间: 合同签订之日起</w:t>
            </w:r>
            <w:r>
              <w:rPr>
                <w:rFonts w:hint="eastAsia" w:ascii="宋体" w:hAnsi="宋体" w:cs="宋体"/>
                <w:kern w:val="0"/>
                <w:lang w:val="en-US" w:eastAsia="zh-CN"/>
              </w:rPr>
              <w:t>10</w:t>
            </w:r>
            <w:r>
              <w:rPr>
                <w:rFonts w:hint="eastAsia" w:ascii="宋体" w:hAnsi="宋体" w:cs="宋体"/>
                <w:kern w:val="0"/>
              </w:rPr>
              <w:t>天内完成供货安装等所有内容。</w:t>
            </w:r>
          </w:p>
          <w:p w14:paraId="4427ADDC">
            <w:pPr>
              <w:widowControl/>
              <w:ind w:firstLine="0" w:firstLineChars="0"/>
              <w:jc w:val="left"/>
              <w:textAlignment w:val="center"/>
              <w:rPr>
                <w:rFonts w:hint="eastAsia" w:ascii="宋体" w:hAnsi="宋体" w:cs="宋体"/>
                <w:kern w:val="0"/>
              </w:rPr>
            </w:pPr>
            <w:r>
              <w:rPr>
                <w:rFonts w:hint="eastAsia" w:ascii="宋体" w:hAnsi="宋体" w:cs="宋体"/>
                <w:kern w:val="0"/>
              </w:rPr>
              <w:t>地点：</w:t>
            </w:r>
            <w:r>
              <w:t>浙江省杭州市高教路1号</w:t>
            </w:r>
            <w:r>
              <w:rPr>
                <w:rFonts w:hint="eastAsia"/>
              </w:rPr>
              <w:t>（</w:t>
            </w:r>
            <w:r>
              <w:t>浙江康复医院城西院区</w:t>
            </w:r>
            <w:r>
              <w:rPr>
                <w:rFonts w:hint="eastAsia"/>
              </w:rPr>
              <w:t>）</w:t>
            </w:r>
          </w:p>
        </w:tc>
      </w:tr>
      <w:tr w14:paraId="5CE55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6"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0D08E3F8">
            <w:pPr>
              <w:widowControl/>
              <w:ind w:firstLine="0" w:firstLineChars="0"/>
              <w:jc w:val="center"/>
              <w:textAlignment w:val="center"/>
              <w:rPr>
                <w:rFonts w:hint="eastAsia" w:ascii="宋体" w:hAnsi="宋体" w:cs="宋体"/>
                <w:kern w:val="0"/>
              </w:rPr>
            </w:pPr>
            <w:r>
              <w:rPr>
                <w:rFonts w:hint="eastAsia" w:ascii="宋体" w:hAnsi="宋体" w:cs="宋体"/>
                <w:kern w:val="0"/>
              </w:rPr>
              <w:t>验收要求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72EE0225">
            <w:pPr>
              <w:widowControl/>
              <w:ind w:firstLine="0" w:firstLineChars="0"/>
              <w:jc w:val="left"/>
              <w:textAlignment w:val="center"/>
              <w:rPr>
                <w:rFonts w:hint="eastAsia" w:ascii="宋体" w:hAnsi="宋体" w:cs="宋体"/>
                <w:kern w:val="0"/>
              </w:rPr>
            </w:pPr>
            <w:r>
              <w:rPr>
                <w:rFonts w:hint="eastAsia" w:ascii="宋体" w:hAnsi="宋体" w:cs="宋体"/>
                <w:kern w:val="0"/>
              </w:rPr>
              <w:t>（1）中标人负责在设备送达采购人使用现场，完成安装调试，向采购人提出验收申请。</w:t>
            </w:r>
          </w:p>
          <w:p w14:paraId="26CD456A">
            <w:pPr>
              <w:widowControl/>
              <w:ind w:firstLine="0" w:firstLineChars="0"/>
              <w:jc w:val="left"/>
              <w:textAlignment w:val="center"/>
              <w:rPr>
                <w:rFonts w:hint="eastAsia" w:ascii="宋体" w:hAnsi="宋体" w:cs="宋体"/>
                <w:kern w:val="0"/>
              </w:rPr>
            </w:pPr>
            <w:r>
              <w:rPr>
                <w:rFonts w:hint="eastAsia" w:ascii="宋体" w:hAnsi="宋体" w:cs="宋体"/>
                <w:kern w:val="0"/>
              </w:rPr>
              <w:t>（2）验收标准：以招标文件、投标文件的技术参数为准；</w:t>
            </w:r>
          </w:p>
          <w:p w14:paraId="1A56A537">
            <w:pPr>
              <w:widowControl/>
              <w:ind w:firstLine="0" w:firstLineChars="0"/>
              <w:jc w:val="left"/>
              <w:textAlignment w:val="center"/>
              <w:rPr>
                <w:rFonts w:hint="eastAsia" w:ascii="宋体" w:hAnsi="宋体" w:cs="宋体"/>
                <w:kern w:val="0"/>
              </w:rPr>
            </w:pPr>
            <w:r>
              <w:rPr>
                <w:rFonts w:hint="eastAsia" w:ascii="宋体" w:hAnsi="宋体" w:cs="宋体"/>
                <w:kern w:val="0"/>
              </w:rPr>
              <w:t>验收合格后，甲方应向乙方出具加盖公章的《采购项目验收单》（一式三份）。验收不合格的，甲方有权拒收，并书面通知乙方，乙方应在合同规定时间内按约如数更换到位，并保证验收合格。</w:t>
            </w:r>
          </w:p>
          <w:p w14:paraId="105FCEB8">
            <w:pPr>
              <w:widowControl/>
              <w:ind w:firstLine="0" w:firstLineChars="0"/>
              <w:jc w:val="left"/>
              <w:textAlignment w:val="center"/>
              <w:rPr>
                <w:rFonts w:hint="eastAsia" w:ascii="宋体" w:hAnsi="宋体" w:cs="宋体"/>
                <w:kern w:val="0"/>
              </w:rPr>
            </w:pPr>
            <w:r>
              <w:rPr>
                <w:rFonts w:hint="eastAsia" w:ascii="宋体" w:hAnsi="宋体" w:cs="宋体"/>
                <w:kern w:val="0"/>
              </w:rPr>
              <w:t>（3）搬运安装过程中造成原建筑设施、室外道路、绿化、墙体、门窗、锁具等损坏及下水道堵塞的，由中标人进行修复或按实赔偿，或由采购人委托第三方修复，所产生费用由中标人支付。</w:t>
            </w:r>
          </w:p>
        </w:tc>
      </w:tr>
      <w:tr w14:paraId="21347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39" w:type="dxa"/>
            <w:tcBorders>
              <w:top w:val="single" w:color="auto" w:sz="4" w:space="0"/>
              <w:left w:val="single" w:color="auto" w:sz="4" w:space="0"/>
              <w:bottom w:val="single" w:color="auto" w:sz="4" w:space="0"/>
              <w:right w:val="single" w:color="auto" w:sz="4" w:space="0"/>
            </w:tcBorders>
            <w:noWrap w:val="0"/>
            <w:vAlign w:val="center"/>
          </w:tcPr>
          <w:p w14:paraId="5B0A7185">
            <w:pPr>
              <w:widowControl/>
              <w:ind w:firstLine="0" w:firstLineChars="0"/>
              <w:jc w:val="center"/>
              <w:textAlignment w:val="center"/>
              <w:rPr>
                <w:rFonts w:hint="eastAsia" w:ascii="宋体" w:hAnsi="宋体" w:cs="宋体"/>
                <w:kern w:val="0"/>
              </w:rPr>
            </w:pPr>
            <w:r>
              <w:rPr>
                <w:rFonts w:hint="eastAsia" w:ascii="宋体" w:hAnsi="宋体" w:cs="宋体"/>
                <w:kern w:val="0"/>
              </w:rPr>
              <w:t>报价要求</w:t>
            </w:r>
          </w:p>
        </w:tc>
        <w:tc>
          <w:tcPr>
            <w:tcW w:w="7584" w:type="dxa"/>
            <w:tcBorders>
              <w:top w:val="single" w:color="auto" w:sz="4" w:space="0"/>
              <w:left w:val="single" w:color="auto" w:sz="4" w:space="0"/>
              <w:bottom w:val="single" w:color="auto" w:sz="4" w:space="0"/>
              <w:right w:val="single" w:color="auto" w:sz="4" w:space="0"/>
            </w:tcBorders>
            <w:noWrap w:val="0"/>
            <w:vAlign w:val="center"/>
          </w:tcPr>
          <w:p w14:paraId="0B06E810">
            <w:pPr>
              <w:widowControl/>
              <w:ind w:firstLine="0" w:firstLineChars="0"/>
              <w:jc w:val="left"/>
              <w:textAlignment w:val="center"/>
              <w:rPr>
                <w:rFonts w:hint="eastAsia" w:ascii="宋体" w:hAnsi="宋体" w:cs="宋体"/>
                <w:kern w:val="0"/>
              </w:rPr>
            </w:pPr>
            <w:r>
              <w:rPr>
                <w:rFonts w:hint="eastAsia" w:ascii="宋体" w:hAnsi="宋体" w:cs="宋体"/>
                <w:kern w:val="0"/>
              </w:rPr>
              <w:t>1．投标报价应以人民币报价，是履行合同的最终价格，应包括货款、标准附件、备品备件、专用工具、包装、运输、装卸、保险、税金、货到就位以及安装、调试、培训、质保、售后服务等一切税金和费用。</w:t>
            </w:r>
          </w:p>
          <w:p w14:paraId="156D442B">
            <w:pPr>
              <w:widowControl/>
              <w:ind w:firstLine="0" w:firstLineChars="0"/>
              <w:jc w:val="left"/>
              <w:textAlignment w:val="center"/>
              <w:rPr>
                <w:rFonts w:hint="eastAsia" w:ascii="宋体" w:hAnsi="宋体" w:cs="宋体"/>
                <w:kern w:val="0"/>
              </w:rPr>
            </w:pPr>
            <w:r>
              <w:rPr>
                <w:rFonts w:hint="eastAsia" w:ascii="宋体" w:hAnsi="宋体" w:cs="宋体"/>
                <w:kern w:val="0"/>
              </w:rPr>
              <w:t>2.投标文件只允许有一个报价，有选择的、有条件的报价将被拒绝。</w:t>
            </w:r>
          </w:p>
          <w:p w14:paraId="5C860100">
            <w:pPr>
              <w:widowControl/>
              <w:ind w:firstLine="0" w:firstLineChars="0"/>
              <w:jc w:val="left"/>
              <w:textAlignment w:val="center"/>
              <w:rPr>
                <w:rFonts w:hint="eastAsia" w:ascii="宋体" w:hAnsi="宋体" w:cs="宋体"/>
                <w:kern w:val="0"/>
              </w:rPr>
            </w:pPr>
            <w:r>
              <w:rPr>
                <w:rFonts w:hint="eastAsia" w:ascii="宋体" w:hAnsi="宋体" w:cs="宋体"/>
                <w:kern w:val="0"/>
              </w:rPr>
              <w:t>3.采购人不接受可选择的报价。</w:t>
            </w:r>
          </w:p>
        </w:tc>
      </w:tr>
    </w:tbl>
    <w:p w14:paraId="7CE214F1">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5A96A1A1">
      <w:pPr>
        <w:widowControl w:val="0"/>
        <w:numPr>
          <w:ilvl w:val="0"/>
          <w:numId w:val="0"/>
        </w:numPr>
        <w:adjustRightInd w:val="0"/>
        <w:snapToGrid w:val="0"/>
        <w:spacing w:line="300" w:lineRule="auto"/>
        <w:jc w:val="both"/>
        <w:rPr>
          <w:rFonts w:hint="eastAsia" w:ascii="宋体" w:hAnsi="宋体" w:cs="宋体"/>
          <w:b/>
          <w:bCs/>
          <w:color w:val="000000"/>
          <w:sz w:val="28"/>
          <w:szCs w:val="28"/>
          <w:lang w:val="en-US" w:eastAsia="zh-CN"/>
        </w:rPr>
      </w:pPr>
    </w:p>
    <w:p w14:paraId="5E2DCCB8">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5D6E305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3AF60FD6">
      <w:pPr>
        <w:widowControl w:val="0"/>
        <w:numPr>
          <w:ilvl w:val="0"/>
          <w:numId w:val="0"/>
        </w:numPr>
        <w:adjustRightInd w:val="0"/>
        <w:snapToGrid w:val="0"/>
        <w:spacing w:line="300" w:lineRule="auto"/>
        <w:jc w:val="both"/>
        <w:rPr>
          <w:rFonts w:hint="eastAsia" w:ascii="宋体" w:hAnsi="宋体" w:cs="宋体"/>
          <w:b/>
          <w:bCs/>
          <w:color w:val="000000"/>
          <w:sz w:val="28"/>
          <w:szCs w:val="28"/>
        </w:rPr>
      </w:pPr>
    </w:p>
    <w:p w14:paraId="1C57CEE3">
      <w:pPr>
        <w:snapToGrid w:val="0"/>
        <w:spacing w:before="0" w:beforeLines="0" w:after="0" w:afterLines="0" w:line="240" w:lineRule="auto"/>
        <w:ind w:firstLine="0" w:firstLineChars="0"/>
        <w:jc w:val="center"/>
        <w:outlineLvl w:val="0"/>
        <w:rPr>
          <w:rFonts w:hint="eastAsia" w:ascii="宋体" w:hAnsi="宋体"/>
          <w:b/>
          <w:sz w:val="30"/>
          <w:szCs w:val="30"/>
        </w:rPr>
        <w:sectPr>
          <w:pgSz w:w="11906" w:h="16838"/>
          <w:pgMar w:top="1440" w:right="1800" w:bottom="1134" w:left="1800" w:header="851" w:footer="992" w:gutter="0"/>
          <w:cols w:space="720" w:num="1"/>
          <w:docGrid w:type="lines" w:linePitch="312" w:charSpace="0"/>
        </w:sectPr>
      </w:pP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五</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7"/>
        <w:snapToGrid w:val="0"/>
        <w:spacing w:before="50" w:after="50" w:line="360" w:lineRule="auto"/>
        <w:ind w:firstLine="1260" w:firstLineChars="450"/>
        <w:rPr>
          <w:rFonts w:ascii="宋体" w:hAnsi="宋体"/>
          <w:bCs/>
          <w:sz w:val="28"/>
          <w:szCs w:val="28"/>
        </w:rPr>
      </w:pPr>
    </w:p>
    <w:p w14:paraId="51D7831D">
      <w:pPr>
        <w:pStyle w:val="7"/>
        <w:snapToGrid w:val="0"/>
        <w:spacing w:before="50" w:after="50" w:line="360" w:lineRule="auto"/>
        <w:ind w:firstLine="1260" w:firstLineChars="450"/>
        <w:rPr>
          <w:rFonts w:ascii="宋体" w:hAnsi="宋体"/>
          <w:bCs/>
          <w:sz w:val="28"/>
          <w:szCs w:val="28"/>
        </w:rPr>
      </w:pPr>
    </w:p>
    <w:p w14:paraId="4AD31212">
      <w:pPr>
        <w:pStyle w:val="7"/>
        <w:snapToGrid w:val="0"/>
        <w:spacing w:before="50" w:after="50" w:line="360" w:lineRule="auto"/>
        <w:ind w:firstLine="1260" w:firstLineChars="450"/>
        <w:rPr>
          <w:rFonts w:ascii="宋体" w:hAnsi="宋体"/>
          <w:bCs/>
          <w:sz w:val="28"/>
          <w:szCs w:val="28"/>
        </w:rPr>
      </w:pPr>
    </w:p>
    <w:p w14:paraId="383EEE1F">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7"/>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7"/>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履行合同所必需的设备和专业技术能力的证明材料：须提供相关证明（说明）材料，内容自拟，证明材料可以是：资产或存款证明、采购设备发票、代理证明、以往同类项目实施案例、投标人为其缴纳社保的人员资质等</w:t>
      </w:r>
      <w:r>
        <w:rPr>
          <w:rFonts w:hint="eastAsia"/>
          <w:b/>
          <w:bCs/>
          <w:sz w:val="28"/>
          <w:szCs w:val="28"/>
        </w:rPr>
        <w:t>；</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4"/>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306569A9">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浙江康复医院西溪院区1号楼宣传标识布设项目</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项目</w:t>
      </w:r>
      <w:r>
        <w:rPr>
          <w:rFonts w:hint="eastAsia" w:ascii="新宋体" w:hAnsi="新宋体" w:eastAsia="新宋体" w:cs="宋体"/>
          <w:b/>
          <w:bCs/>
          <w:sz w:val="32"/>
          <w:szCs w:val="32"/>
        </w:rPr>
        <w:t xml:space="preserve">开标一览表 </w:t>
      </w:r>
    </w:p>
    <w:tbl>
      <w:tblPr>
        <w:tblStyle w:val="22"/>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8"/>
            </w:pPr>
            <w:r>
              <w:rPr>
                <w:rFonts w:hint="eastAsia" w:ascii="宋体" w:hAnsi="宋体" w:eastAsia="宋体" w:cs="宋体"/>
                <w:b w:val="0"/>
                <w:bCs w:val="0"/>
                <w:sz w:val="24"/>
                <w:szCs w:val="24"/>
                <w:lang w:val="en-US" w:eastAsia="zh-CN"/>
              </w:rPr>
              <w:t>浙江康复</w:t>
            </w:r>
            <w:r>
              <w:rPr>
                <w:rFonts w:hint="eastAsia" w:hAnsi="宋体" w:cs="宋体"/>
                <w:b w:val="0"/>
                <w:bCs w:val="0"/>
                <w:sz w:val="24"/>
                <w:szCs w:val="24"/>
                <w:lang w:val="en-US" w:eastAsia="zh-CN"/>
              </w:rPr>
              <w:t>西溪院区1号楼宣传标识布设项目</w:t>
            </w:r>
          </w:p>
        </w:tc>
        <w:tc>
          <w:tcPr>
            <w:tcW w:w="3221" w:type="dxa"/>
            <w:vAlign w:val="center"/>
          </w:tcPr>
          <w:p w14:paraId="52F93C39">
            <w:pPr>
              <w:pStyle w:val="28"/>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8"/>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6D49806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7"/>
      <w:framePr w:wrap="around" w:vAnchor="text" w:hAnchor="margin" w:xAlign="outside" w:y="1"/>
      <w:rPr>
        <w:rStyle w:val="24"/>
      </w:rPr>
    </w:pPr>
    <w:r>
      <w:fldChar w:fldCharType="begin"/>
    </w:r>
    <w:r>
      <w:rPr>
        <w:rStyle w:val="24"/>
      </w:rPr>
      <w:instrText xml:space="preserve">PAGE  </w:instrText>
    </w:r>
    <w:r>
      <w:fldChar w:fldCharType="end"/>
    </w:r>
  </w:p>
  <w:p w14:paraId="7F6D04E3">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1A9D0"/>
    <w:multiLevelType w:val="singleLevel"/>
    <w:tmpl w:val="0061A9D0"/>
    <w:lvl w:ilvl="0" w:tentative="0">
      <w:start w:val="1"/>
      <w:numFmt w:val="chineseCounting"/>
      <w:pStyle w:val="2"/>
      <w:suff w:val="nothing"/>
      <w:lvlText w:val="%1、"/>
      <w:lvlJc w:val="left"/>
      <w:pPr>
        <w:ind w:left="0" w:firstLine="420"/>
      </w:pPr>
      <w:rPr>
        <w:rFonts w:hint="eastAsia"/>
      </w:rPr>
    </w:lvl>
  </w:abstractNum>
  <w:abstractNum w:abstractNumId="1">
    <w:nsid w:val="0F4CADD7"/>
    <w:multiLevelType w:val="singleLevel"/>
    <w:tmpl w:val="0F4CADD7"/>
    <w:lvl w:ilvl="0" w:tentative="0">
      <w:start w:val="2"/>
      <w:numFmt w:val="chineseCounting"/>
      <w:suff w:val="nothing"/>
      <w:lvlText w:val="%1、"/>
      <w:lvlJc w:val="left"/>
      <w:rPr>
        <w:rFonts w:hint="eastAsia"/>
      </w:rPr>
    </w:lvl>
  </w:abstractNum>
  <w:abstractNum w:abstractNumId="2">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4"/>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5B18E058"/>
    <w:multiLevelType w:val="singleLevel"/>
    <w:tmpl w:val="5B18E058"/>
    <w:lvl w:ilvl="0" w:tentative="0">
      <w:start w:val="1"/>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24717F5"/>
    <w:rsid w:val="0357BADD"/>
    <w:rsid w:val="03FF331B"/>
    <w:rsid w:val="052A0D30"/>
    <w:rsid w:val="052A4E01"/>
    <w:rsid w:val="06566484"/>
    <w:rsid w:val="0A8E0953"/>
    <w:rsid w:val="0AA2487E"/>
    <w:rsid w:val="0AA4735D"/>
    <w:rsid w:val="0AB04F2C"/>
    <w:rsid w:val="0B081334"/>
    <w:rsid w:val="0C9D50DC"/>
    <w:rsid w:val="0CF9310A"/>
    <w:rsid w:val="0DC161D1"/>
    <w:rsid w:val="0DCB704F"/>
    <w:rsid w:val="103B4E32"/>
    <w:rsid w:val="12D27592"/>
    <w:rsid w:val="14614B6E"/>
    <w:rsid w:val="14B27E92"/>
    <w:rsid w:val="14BE3B8E"/>
    <w:rsid w:val="157C665C"/>
    <w:rsid w:val="198459E4"/>
    <w:rsid w:val="1AEC4D70"/>
    <w:rsid w:val="1C5B1EE6"/>
    <w:rsid w:val="1CC42074"/>
    <w:rsid w:val="1DED01BA"/>
    <w:rsid w:val="1FBD58E5"/>
    <w:rsid w:val="1FD420B6"/>
    <w:rsid w:val="201D2F11"/>
    <w:rsid w:val="21177DE8"/>
    <w:rsid w:val="21882B93"/>
    <w:rsid w:val="21A734D8"/>
    <w:rsid w:val="21C276BC"/>
    <w:rsid w:val="228C104B"/>
    <w:rsid w:val="25183AEB"/>
    <w:rsid w:val="25EC55A4"/>
    <w:rsid w:val="26264D35"/>
    <w:rsid w:val="26982524"/>
    <w:rsid w:val="27066912"/>
    <w:rsid w:val="27E26EA9"/>
    <w:rsid w:val="28596AA5"/>
    <w:rsid w:val="28BB065C"/>
    <w:rsid w:val="29136860"/>
    <w:rsid w:val="2D6E01AA"/>
    <w:rsid w:val="2D9C5EB4"/>
    <w:rsid w:val="2E6A247E"/>
    <w:rsid w:val="2E6E3527"/>
    <w:rsid w:val="300C557A"/>
    <w:rsid w:val="315D6436"/>
    <w:rsid w:val="33D931FA"/>
    <w:rsid w:val="35557D38"/>
    <w:rsid w:val="385C75A8"/>
    <w:rsid w:val="38946CBD"/>
    <w:rsid w:val="3A671487"/>
    <w:rsid w:val="3B40203D"/>
    <w:rsid w:val="3B8A14A1"/>
    <w:rsid w:val="3BED3D8F"/>
    <w:rsid w:val="3CC176CA"/>
    <w:rsid w:val="3CDF44B4"/>
    <w:rsid w:val="3D2A1D42"/>
    <w:rsid w:val="3DC57E9F"/>
    <w:rsid w:val="3E5E25C4"/>
    <w:rsid w:val="3E903498"/>
    <w:rsid w:val="3ED03EFF"/>
    <w:rsid w:val="3F144FA2"/>
    <w:rsid w:val="3F39027B"/>
    <w:rsid w:val="3F8D0B98"/>
    <w:rsid w:val="41675F1C"/>
    <w:rsid w:val="421A0AD4"/>
    <w:rsid w:val="42905E0A"/>
    <w:rsid w:val="42E816D2"/>
    <w:rsid w:val="43F84530"/>
    <w:rsid w:val="44951E37"/>
    <w:rsid w:val="452E1CA0"/>
    <w:rsid w:val="45F147CD"/>
    <w:rsid w:val="47ED547B"/>
    <w:rsid w:val="49C5274C"/>
    <w:rsid w:val="4A7F21F6"/>
    <w:rsid w:val="4BF46B5C"/>
    <w:rsid w:val="4DC1521E"/>
    <w:rsid w:val="501F1DA4"/>
    <w:rsid w:val="50E8081E"/>
    <w:rsid w:val="51B74CC1"/>
    <w:rsid w:val="52B54413"/>
    <w:rsid w:val="53AF7057"/>
    <w:rsid w:val="544467E1"/>
    <w:rsid w:val="55235A1B"/>
    <w:rsid w:val="558D4BD1"/>
    <w:rsid w:val="57A31C96"/>
    <w:rsid w:val="5BE26214"/>
    <w:rsid w:val="5BEFF0EC"/>
    <w:rsid w:val="5CEFC7EB"/>
    <w:rsid w:val="5F985483"/>
    <w:rsid w:val="612F795E"/>
    <w:rsid w:val="61D239C1"/>
    <w:rsid w:val="626442DC"/>
    <w:rsid w:val="63526E47"/>
    <w:rsid w:val="63A96660"/>
    <w:rsid w:val="63FE0C96"/>
    <w:rsid w:val="65D543DE"/>
    <w:rsid w:val="672A074E"/>
    <w:rsid w:val="681C3635"/>
    <w:rsid w:val="69DC3FB0"/>
    <w:rsid w:val="6C1234D8"/>
    <w:rsid w:val="6C83475D"/>
    <w:rsid w:val="6DB23069"/>
    <w:rsid w:val="6DE20C78"/>
    <w:rsid w:val="6F2B261F"/>
    <w:rsid w:val="701533AA"/>
    <w:rsid w:val="712A66B5"/>
    <w:rsid w:val="715C3977"/>
    <w:rsid w:val="718650E2"/>
    <w:rsid w:val="73AC64F0"/>
    <w:rsid w:val="73CC2623"/>
    <w:rsid w:val="73FF759E"/>
    <w:rsid w:val="74115450"/>
    <w:rsid w:val="74F704E5"/>
    <w:rsid w:val="7527664B"/>
    <w:rsid w:val="755C3876"/>
    <w:rsid w:val="76D11492"/>
    <w:rsid w:val="7782350B"/>
    <w:rsid w:val="789F6A91"/>
    <w:rsid w:val="78B8748E"/>
    <w:rsid w:val="78BA58F4"/>
    <w:rsid w:val="79FC020E"/>
    <w:rsid w:val="7A0F632E"/>
    <w:rsid w:val="7AF572DA"/>
    <w:rsid w:val="7B86413B"/>
    <w:rsid w:val="7BF220C7"/>
    <w:rsid w:val="7D443301"/>
    <w:rsid w:val="7DEF6490"/>
    <w:rsid w:val="7E501F83"/>
    <w:rsid w:val="7EDD0EA7"/>
    <w:rsid w:val="7F29600E"/>
    <w:rsid w:val="7F3DB90C"/>
    <w:rsid w:val="AFFD0668"/>
    <w:rsid w:val="DAD68BE1"/>
    <w:rsid w:val="DB37F8F9"/>
    <w:rsid w:val="F3F4FAA5"/>
    <w:rsid w:val="F9CF92A8"/>
    <w:rsid w:val="FF6C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5">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tabs>
        <w:tab w:val="left" w:pos="780"/>
      </w:tabs>
      <w:ind w:left="780" w:hanging="360"/>
    </w:pPr>
    <w:rPr>
      <w:rFonts w:cs="Times New Roman"/>
      <w:szCs w:val="24"/>
    </w:rPr>
  </w:style>
  <w:style w:type="paragraph" w:styleId="7">
    <w:name w:val="Normal Indent"/>
    <w:basedOn w:val="1"/>
    <w:next w:val="1"/>
    <w:link w:val="43"/>
    <w:qFormat/>
    <w:uiPriority w:val="99"/>
    <w:pPr>
      <w:ind w:firstLine="420"/>
    </w:pPr>
    <w:rPr>
      <w:rFonts w:ascii="Times New Roman" w:hAnsi="Times New Roman" w:cs="Times New Roman"/>
      <w:kern w:val="0"/>
      <w:sz w:val="20"/>
      <w:szCs w:val="20"/>
    </w:rPr>
  </w:style>
  <w:style w:type="paragraph" w:styleId="8">
    <w:name w:val="annotation text"/>
    <w:basedOn w:val="1"/>
    <w:semiHidden/>
    <w:unhideWhenUsed/>
    <w:qFormat/>
    <w:uiPriority w:val="0"/>
    <w:pPr>
      <w:jc w:val="left"/>
    </w:pPr>
  </w:style>
  <w:style w:type="paragraph" w:styleId="9">
    <w:name w:val="Body Text"/>
    <w:basedOn w:val="1"/>
    <w:next w:val="10"/>
    <w:unhideWhenUsed/>
    <w:qFormat/>
    <w:uiPriority w:val="0"/>
  </w:style>
  <w:style w:type="paragraph" w:styleId="10">
    <w:name w:val="Body Text First Indent"/>
    <w:basedOn w:val="9"/>
    <w:next w:val="11"/>
    <w:unhideWhenUsed/>
    <w:qFormat/>
    <w:uiPriority w:val="0"/>
    <w:pPr>
      <w:tabs>
        <w:tab w:val="left" w:pos="208"/>
      </w:tabs>
      <w:ind w:firstLine="420" w:firstLineChars="100"/>
    </w:pPr>
  </w:style>
  <w:style w:type="paragraph" w:styleId="11">
    <w:name w:val="toc 6"/>
    <w:basedOn w:val="1"/>
    <w:next w:val="1"/>
    <w:unhideWhenUsed/>
    <w:qFormat/>
    <w:uiPriority w:val="39"/>
    <w:pPr>
      <w:ind w:left="1050"/>
      <w:jc w:val="left"/>
    </w:pPr>
    <w:rPr>
      <w:sz w:val="18"/>
      <w:szCs w:val="18"/>
    </w:rPr>
  </w:style>
  <w:style w:type="paragraph" w:styleId="12">
    <w:name w:val="Body Text Indent"/>
    <w:basedOn w:val="1"/>
    <w:link w:val="40"/>
    <w:qFormat/>
    <w:uiPriority w:val="0"/>
    <w:pPr>
      <w:spacing w:line="200" w:lineRule="exact"/>
      <w:ind w:firstLine="301"/>
    </w:pPr>
    <w:rPr>
      <w:rFonts w:ascii="宋体" w:hAnsi="Courier New" w:cs="Times New Roman"/>
      <w:spacing w:val="-4"/>
      <w:sz w:val="18"/>
      <w:szCs w:val="20"/>
    </w:rPr>
  </w:style>
  <w:style w:type="paragraph" w:styleId="13">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4">
    <w:name w:val="Plain Text"/>
    <w:basedOn w:val="1"/>
    <w:link w:val="44"/>
    <w:qFormat/>
    <w:uiPriority w:val="0"/>
    <w:pPr>
      <w:spacing w:beforeLines="50" w:afterLines="50" w:line="400" w:lineRule="exact"/>
    </w:pPr>
    <w:rPr>
      <w:rFonts w:ascii="宋体" w:hAnsi="Courier New" w:cs="Times New Roman"/>
      <w:kern w:val="0"/>
      <w:sz w:val="24"/>
      <w:szCs w:val="24"/>
    </w:rPr>
  </w:style>
  <w:style w:type="paragraph" w:styleId="15">
    <w:name w:val="Date"/>
    <w:basedOn w:val="1"/>
    <w:next w:val="1"/>
    <w:link w:val="48"/>
    <w:unhideWhenUsed/>
    <w:qFormat/>
    <w:uiPriority w:val="0"/>
    <w:pPr>
      <w:ind w:left="100" w:leftChars="2500"/>
    </w:pPr>
  </w:style>
  <w:style w:type="paragraph" w:styleId="16">
    <w:name w:val="Balloon Text"/>
    <w:basedOn w:val="1"/>
    <w:link w:val="46"/>
    <w:unhideWhenUsed/>
    <w:qFormat/>
    <w:uiPriority w:val="99"/>
    <w:rPr>
      <w:sz w:val="18"/>
      <w:szCs w:val="18"/>
    </w:rPr>
  </w:style>
  <w:style w:type="paragraph" w:styleId="17">
    <w:name w:val="footer"/>
    <w:basedOn w:val="1"/>
    <w:link w:val="38"/>
    <w:unhideWhenUsed/>
    <w:qFormat/>
    <w:uiPriority w:val="0"/>
    <w:pPr>
      <w:tabs>
        <w:tab w:val="center" w:pos="4153"/>
        <w:tab w:val="right" w:pos="8306"/>
      </w:tabs>
      <w:snapToGrid w:val="0"/>
      <w:jc w:val="left"/>
    </w:pPr>
    <w:rPr>
      <w:sz w:val="18"/>
      <w:szCs w:val="18"/>
    </w:rPr>
  </w:style>
  <w:style w:type="paragraph" w:styleId="18">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0">
    <w:name w:val="Title"/>
    <w:basedOn w:val="1"/>
    <w:next w:val="1"/>
    <w:link w:val="42"/>
    <w:qFormat/>
    <w:uiPriority w:val="0"/>
    <w:pPr>
      <w:spacing w:line="520" w:lineRule="exact"/>
      <w:jc w:val="center"/>
      <w:outlineLvl w:val="3"/>
    </w:pPr>
    <w:rPr>
      <w:rFonts w:ascii="Cambria" w:hAnsi="Cambria" w:cs="Times New Roman"/>
      <w:b/>
      <w:bCs/>
      <w:sz w:val="28"/>
      <w:szCs w:val="3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qFormat/>
    <w:uiPriority w:val="0"/>
  </w:style>
  <w:style w:type="character" w:styleId="25">
    <w:name w:val="Hyperlink"/>
    <w:basedOn w:val="23"/>
    <w:semiHidden/>
    <w:unhideWhenUsed/>
    <w:uiPriority w:val="0"/>
    <w:rPr>
      <w:color w:val="0000FF"/>
      <w:u w:val="single"/>
    </w:rPr>
  </w:style>
  <w:style w:type="character" w:styleId="26">
    <w:name w:val="HTML Sample"/>
    <w:basedOn w:val="23"/>
    <w:unhideWhenUsed/>
    <w:qFormat/>
    <w:uiPriority w:val="99"/>
    <w:rPr>
      <w:rFonts w:ascii="宋体" w:hAnsi="宋体" w:eastAsia="宋体" w:cs="宋体"/>
    </w:rPr>
  </w:style>
  <w:style w:type="paragraph" w:customStyle="1" w:styleId="27">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
    <w:name w:val="纯文本1"/>
    <w:basedOn w:val="30"/>
    <w:qFormat/>
    <w:uiPriority w:val="0"/>
    <w:pPr>
      <w:widowControl/>
      <w:jc w:val="left"/>
    </w:pPr>
    <w:rPr>
      <w:rFonts w:ascii="宋体" w:hAnsi="Courier New"/>
    </w:rPr>
  </w:style>
  <w:style w:type="paragraph" w:customStyle="1" w:styleId="3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
    <w:name w:val="正文2"/>
    <w:basedOn w:val="1"/>
    <w:link w:val="45"/>
    <w:qFormat/>
    <w:uiPriority w:val="0"/>
    <w:pPr>
      <w:spacing w:before="156" w:line="360" w:lineRule="auto"/>
      <w:ind w:firstLine="510" w:firstLineChars="200"/>
    </w:pPr>
    <w:rPr>
      <w:rFonts w:cs="Times New Roman"/>
      <w:sz w:val="24"/>
      <w:szCs w:val="20"/>
    </w:rPr>
  </w:style>
  <w:style w:type="paragraph" w:customStyle="1" w:styleId="32">
    <w:name w:val="列出段落1"/>
    <w:basedOn w:val="1"/>
    <w:qFormat/>
    <w:uiPriority w:val="34"/>
    <w:pPr>
      <w:ind w:firstLine="420" w:firstLineChars="200"/>
    </w:pPr>
  </w:style>
  <w:style w:type="paragraph" w:customStyle="1" w:styleId="33">
    <w:name w:val="Table Paragraph"/>
    <w:basedOn w:val="1"/>
    <w:qFormat/>
    <w:uiPriority w:val="1"/>
    <w:pPr>
      <w:autoSpaceDE w:val="0"/>
      <w:autoSpaceDN w:val="0"/>
      <w:jc w:val="left"/>
    </w:pPr>
    <w:rPr>
      <w:rFonts w:ascii="宋体" w:hAnsi="宋体" w:cs="宋体"/>
      <w:kern w:val="0"/>
      <w:sz w:val="22"/>
      <w:lang w:eastAsia="en-US"/>
    </w:rPr>
  </w:style>
  <w:style w:type="paragraph" w:customStyle="1" w:styleId="34">
    <w:name w:val="列表段落1"/>
    <w:basedOn w:val="1"/>
    <w:qFormat/>
    <w:uiPriority w:val="34"/>
    <w:pPr>
      <w:ind w:firstLine="420" w:firstLineChars="200"/>
    </w:pPr>
  </w:style>
  <w:style w:type="paragraph" w:customStyle="1" w:styleId="35">
    <w:name w:val="p0"/>
    <w:basedOn w:val="1"/>
    <w:qFormat/>
    <w:uiPriority w:val="0"/>
    <w:pPr>
      <w:widowControl/>
    </w:pPr>
    <w:rPr>
      <w:kern w:val="0"/>
      <w:szCs w:val="21"/>
    </w:rPr>
  </w:style>
  <w:style w:type="paragraph" w:customStyle="1" w:styleId="36">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7">
    <w:name w:val="页眉 字符"/>
    <w:basedOn w:val="23"/>
    <w:link w:val="18"/>
    <w:semiHidden/>
    <w:qFormat/>
    <w:uiPriority w:val="99"/>
    <w:rPr>
      <w:sz w:val="18"/>
      <w:szCs w:val="18"/>
    </w:rPr>
  </w:style>
  <w:style w:type="character" w:customStyle="1" w:styleId="38">
    <w:name w:val="页脚 字符"/>
    <w:basedOn w:val="23"/>
    <w:link w:val="17"/>
    <w:qFormat/>
    <w:uiPriority w:val="0"/>
    <w:rPr>
      <w:sz w:val="18"/>
      <w:szCs w:val="18"/>
    </w:rPr>
  </w:style>
  <w:style w:type="character" w:customStyle="1" w:styleId="39">
    <w:name w:val="标题 2 字符"/>
    <w:basedOn w:val="23"/>
    <w:link w:val="3"/>
    <w:qFormat/>
    <w:uiPriority w:val="0"/>
    <w:rPr>
      <w:rFonts w:ascii="Arial" w:hAnsi="Arial" w:eastAsia="黑体" w:cs="Times New Roman"/>
      <w:b/>
      <w:bCs/>
      <w:sz w:val="32"/>
      <w:szCs w:val="32"/>
    </w:rPr>
  </w:style>
  <w:style w:type="character" w:customStyle="1" w:styleId="40">
    <w:name w:val="正文文本缩进 字符"/>
    <w:basedOn w:val="23"/>
    <w:link w:val="12"/>
    <w:qFormat/>
    <w:uiPriority w:val="0"/>
    <w:rPr>
      <w:rFonts w:ascii="宋体" w:hAnsi="Courier New" w:eastAsia="宋体" w:cs="Times New Roman"/>
      <w:spacing w:val="-4"/>
      <w:sz w:val="18"/>
      <w:szCs w:val="20"/>
    </w:rPr>
  </w:style>
  <w:style w:type="character" w:customStyle="1" w:styleId="41">
    <w:name w:val="纯文本 Char"/>
    <w:basedOn w:val="23"/>
    <w:semiHidden/>
    <w:qFormat/>
    <w:uiPriority w:val="99"/>
    <w:rPr>
      <w:rFonts w:ascii="宋体" w:hAnsi="Courier New" w:eastAsia="宋体" w:cs="Courier New"/>
      <w:szCs w:val="21"/>
    </w:rPr>
  </w:style>
  <w:style w:type="character" w:customStyle="1" w:styleId="42">
    <w:name w:val="标题 字符"/>
    <w:basedOn w:val="23"/>
    <w:link w:val="20"/>
    <w:qFormat/>
    <w:uiPriority w:val="0"/>
    <w:rPr>
      <w:rFonts w:ascii="Cambria" w:hAnsi="Cambria" w:eastAsia="宋体" w:cs="Times New Roman"/>
      <w:b/>
      <w:bCs/>
      <w:sz w:val="28"/>
      <w:szCs w:val="32"/>
    </w:rPr>
  </w:style>
  <w:style w:type="character" w:customStyle="1" w:styleId="43">
    <w:name w:val="正文缩进 字符"/>
    <w:link w:val="7"/>
    <w:qFormat/>
    <w:uiPriority w:val="99"/>
    <w:rPr>
      <w:rFonts w:ascii="Times New Roman" w:hAnsi="Times New Roman" w:eastAsia="宋体" w:cs="Times New Roman"/>
      <w:kern w:val="0"/>
      <w:sz w:val="20"/>
      <w:szCs w:val="20"/>
    </w:rPr>
  </w:style>
  <w:style w:type="character" w:customStyle="1" w:styleId="44">
    <w:name w:val="纯文本 字符"/>
    <w:link w:val="14"/>
    <w:qFormat/>
    <w:uiPriority w:val="0"/>
    <w:rPr>
      <w:rFonts w:ascii="宋体" w:hAnsi="Courier New" w:eastAsia="宋体" w:cs="Times New Roman"/>
      <w:kern w:val="0"/>
      <w:sz w:val="24"/>
      <w:szCs w:val="24"/>
    </w:rPr>
  </w:style>
  <w:style w:type="character" w:customStyle="1" w:styleId="45">
    <w:name w:val="正文2 字符"/>
    <w:basedOn w:val="23"/>
    <w:link w:val="31"/>
    <w:qFormat/>
    <w:locked/>
    <w:uiPriority w:val="0"/>
    <w:rPr>
      <w:rFonts w:ascii="Calibri" w:hAnsi="Calibri" w:eastAsia="宋体" w:cs="Times New Roman"/>
      <w:sz w:val="24"/>
      <w:szCs w:val="20"/>
    </w:rPr>
  </w:style>
  <w:style w:type="character" w:customStyle="1" w:styleId="46">
    <w:name w:val="批注框文本 字符"/>
    <w:basedOn w:val="23"/>
    <w:link w:val="16"/>
    <w:semiHidden/>
    <w:qFormat/>
    <w:uiPriority w:val="99"/>
    <w:rPr>
      <w:sz w:val="18"/>
      <w:szCs w:val="18"/>
    </w:rPr>
  </w:style>
  <w:style w:type="character" w:customStyle="1" w:styleId="47">
    <w:name w:val="正文2 Char"/>
    <w:qFormat/>
    <w:locked/>
    <w:uiPriority w:val="0"/>
    <w:rPr>
      <w:rFonts w:ascii="Calibri" w:hAnsi="Calibri"/>
      <w:kern w:val="2"/>
      <w:sz w:val="24"/>
    </w:rPr>
  </w:style>
  <w:style w:type="character" w:customStyle="1" w:styleId="48">
    <w:name w:val="日期 字符"/>
    <w:basedOn w:val="23"/>
    <w:link w:val="15"/>
    <w:semiHidden/>
    <w:qFormat/>
    <w:uiPriority w:val="0"/>
    <w:rPr>
      <w:rFonts w:ascii="Calibri" w:hAnsi="Calibri" w:cs="黑体"/>
      <w:kern w:val="2"/>
      <w:sz w:val="21"/>
      <w:szCs w:val="22"/>
    </w:rPr>
  </w:style>
  <w:style w:type="character" w:customStyle="1" w:styleId="49">
    <w:name w:val="font01"/>
    <w:basedOn w:val="23"/>
    <w:qFormat/>
    <w:uiPriority w:val="0"/>
    <w:rPr>
      <w:rFonts w:hint="eastAsia" w:ascii="宋体" w:hAnsi="宋体" w:eastAsia="宋体" w:cs="宋体"/>
      <w:color w:val="000000"/>
      <w:sz w:val="24"/>
      <w:szCs w:val="24"/>
      <w:u w:val="none"/>
    </w:rPr>
  </w:style>
  <w:style w:type="character" w:customStyle="1" w:styleId="50">
    <w:name w:val="正文标题"/>
    <w:qFormat/>
    <w:uiPriority w:val="0"/>
    <w:rPr>
      <w:rFonts w:ascii="黑体" w:eastAsia="黑体"/>
      <w:b/>
      <w:color w:val="auto"/>
      <w:sz w:val="21"/>
      <w:u w:val="none"/>
    </w:rPr>
  </w:style>
  <w:style w:type="table" w:customStyle="1" w:styleId="51">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2">
    <w:name w:val="正文样式"/>
    <w:basedOn w:val="1"/>
    <w:qFormat/>
    <w:uiPriority w:val="0"/>
    <w:pPr>
      <w:spacing w:beforeLines="50" w:line="312" w:lineRule="auto"/>
      <w:ind w:firstLine="200" w:firstLineChars="200"/>
    </w:pPr>
    <w:rPr>
      <w:sz w:val="24"/>
    </w:rPr>
  </w:style>
  <w:style w:type="paragraph" w:customStyle="1" w:styleId="53">
    <w:name w:val="Revision"/>
    <w:hidden/>
    <w:unhideWhenUsed/>
    <w:qFormat/>
    <w:uiPriority w:val="99"/>
    <w:rPr>
      <w:rFonts w:ascii="Calibri" w:hAnsi="Calibri" w:eastAsia="宋体" w:cs="黑体"/>
      <w:kern w:val="2"/>
      <w:sz w:val="21"/>
      <w:szCs w:val="22"/>
      <w:lang w:val="en-US" w:eastAsia="zh-CN" w:bidi="ar-SA"/>
    </w:rPr>
  </w:style>
  <w:style w:type="paragraph" w:styleId="54">
    <w:name w:val="List Paragraph"/>
    <w:basedOn w:val="1"/>
    <w:unhideWhenUsed/>
    <w:qFormat/>
    <w:uiPriority w:val="99"/>
    <w:pPr>
      <w:ind w:firstLine="420" w:firstLineChars="200"/>
    </w:pPr>
  </w:style>
  <w:style w:type="paragraph" w:customStyle="1" w:styleId="55">
    <w:name w:val="Table Text"/>
    <w:basedOn w:val="1"/>
    <w:semiHidden/>
    <w:qFormat/>
    <w:uiPriority w:val="0"/>
    <w:rPr>
      <w:rFonts w:ascii="宋体" w:hAnsi="宋体" w:cs="宋体"/>
      <w:sz w:val="34"/>
      <w:szCs w:val="3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6442</Words>
  <Characters>6992</Characters>
  <Lines>58</Lines>
  <Paragraphs>16</Paragraphs>
  <TotalTime>199</TotalTime>
  <ScaleCrop>false</ScaleCrop>
  <LinksUpToDate>false</LinksUpToDate>
  <CharactersWithSpaces>7214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2023-04-05T05:57:00Z</dcterms:created>
  <dc:creator>Microsoft</dc:creator>
  <cp:lastModifiedBy>哈哈</cp:lastModifiedBy>
  <cp:lastPrinted>2025-08-07T11:27:00Z</cp:lastPrinted>
  <dcterms:modified xsi:type="dcterms:W3CDTF">2025-09-25T00:40:36Z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ABE5843569954EB8B28E572BCBF34EED_13</vt:lpwstr>
  </property>
  <property fmtid="{D5CDD505-2E9C-101B-9397-08002B2CF9AE}" pid="4" name="KSOTemplateDocerSaveRecord">
    <vt:lpwstr>eyJoZGlkIjoiZjVlNzE4ZjVhNWZiYzE3ZmM1YTAxOTI0MzI0YjZkNzIifQ==</vt:lpwstr>
  </property>
</Properties>
</file>